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03EC7" w14:textId="1FFD9822" w:rsidR="0048664A" w:rsidRDefault="0048664A" w:rsidP="0048664A">
      <w:pPr>
        <w:pStyle w:val="CRCoverPage"/>
        <w:outlineLvl w:val="0"/>
        <w:rPr>
          <w:b/>
          <w:noProof/>
          <w:sz w:val="24"/>
        </w:rPr>
      </w:pPr>
      <w:r>
        <w:rPr>
          <w:b/>
          <w:noProof/>
          <w:sz w:val="24"/>
        </w:rPr>
        <w:t>3GPP TSG RAN WG1 #108-e</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3D78FD">
        <w:rPr>
          <w:b/>
          <w:noProof/>
          <w:sz w:val="24"/>
        </w:rPr>
        <w:t>R1-220165</w:t>
      </w:r>
      <w:r>
        <w:rPr>
          <w:b/>
          <w:noProof/>
          <w:sz w:val="24"/>
        </w:rPr>
        <w:t>3</w:t>
      </w:r>
    </w:p>
    <w:p w14:paraId="00553D73" w14:textId="77777777" w:rsidR="0048664A" w:rsidRDefault="0048664A" w:rsidP="0048664A">
      <w:pPr>
        <w:pStyle w:val="CRCoverPage"/>
        <w:outlineLvl w:val="0"/>
        <w:rPr>
          <w:b/>
          <w:noProof/>
          <w:sz w:val="24"/>
        </w:rPr>
      </w:pPr>
      <w:r>
        <w:rPr>
          <w:b/>
          <w:noProof/>
          <w:sz w:val="24"/>
        </w:rPr>
        <w:t>e-Meeting, February 21</w:t>
      </w:r>
      <w:r>
        <w:rPr>
          <w:b/>
          <w:noProof/>
          <w:sz w:val="24"/>
          <w:vertAlign w:val="superscript"/>
        </w:rPr>
        <w:t>th</w:t>
      </w:r>
      <w:r>
        <w:rPr>
          <w:b/>
          <w:noProof/>
          <w:sz w:val="24"/>
        </w:rPr>
        <w:t xml:space="preserve"> – March 3</w:t>
      </w:r>
      <w:r>
        <w:rPr>
          <w:b/>
          <w:noProof/>
          <w:sz w:val="24"/>
          <w:vertAlign w:val="superscript"/>
        </w:rPr>
        <w:t>rd</w:t>
      </w:r>
      <w:r>
        <w:rPr>
          <w:b/>
          <w:noProof/>
          <w:sz w:val="24"/>
        </w:rPr>
        <w:t>, 2022</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26D256D5"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874392">
        <w:rPr>
          <w:rFonts w:ascii="Arial" w:hAnsi="Arial"/>
          <w:sz w:val="24"/>
        </w:rPr>
        <w:t>8.</w:t>
      </w:r>
      <w:r w:rsidR="009B4B23">
        <w:rPr>
          <w:rFonts w:ascii="Arial" w:hAnsi="Arial"/>
          <w:sz w:val="24"/>
        </w:rPr>
        <w:t>1</w:t>
      </w:r>
      <w:r w:rsidR="00A90A5B">
        <w:rPr>
          <w:rFonts w:ascii="Arial" w:hAnsi="Arial"/>
          <w:sz w:val="24"/>
        </w:rPr>
        <w:t>4</w:t>
      </w:r>
      <w:r w:rsidR="00874392">
        <w:rPr>
          <w:rFonts w:ascii="Arial" w:hAnsi="Arial"/>
          <w:sz w:val="24"/>
        </w:rPr>
        <w:t>.</w:t>
      </w:r>
      <w:r w:rsidR="00205F8E">
        <w:rPr>
          <w:rFonts w:ascii="Arial" w:hAnsi="Arial"/>
          <w:sz w:val="24"/>
        </w:rPr>
        <w:t>2</w:t>
      </w:r>
    </w:p>
    <w:p w14:paraId="08727EFD" w14:textId="77777777" w:rsidR="00620296" w:rsidRPr="00CC27F5" w:rsidRDefault="00620296" w:rsidP="00620296">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2B7E5407" w14:textId="3F64234E"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E2389A" w:rsidRPr="00E2389A">
        <w:rPr>
          <w:rFonts w:ascii="Arial" w:hAnsi="Arial"/>
          <w:sz w:val="24"/>
        </w:rPr>
        <w:t>Timing relationship enhancements</w:t>
      </w:r>
    </w:p>
    <w:p w14:paraId="412B4E4E" w14:textId="75646A95" w:rsidR="00B32506" w:rsidRDefault="00620296" w:rsidP="008208F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21C61593" w14:textId="77777777" w:rsidR="003009A5" w:rsidRDefault="003009A5" w:rsidP="003009A5">
      <w:pPr>
        <w:tabs>
          <w:tab w:val="left" w:pos="1985"/>
        </w:tabs>
        <w:ind w:right="-441"/>
        <w:jc w:val="both"/>
        <w:rPr>
          <w:rFonts w:ascii="Arial" w:hAnsi="Arial"/>
          <w:sz w:val="24"/>
        </w:rPr>
      </w:pPr>
    </w:p>
    <w:p w14:paraId="47367EA5" w14:textId="77777777" w:rsidR="003009A5" w:rsidRDefault="003009A5" w:rsidP="003009A5">
      <w:pPr>
        <w:pStyle w:val="Heading1"/>
        <w:numPr>
          <w:ilvl w:val="0"/>
          <w:numId w:val="1"/>
        </w:numPr>
        <w:tabs>
          <w:tab w:val="clear" w:pos="1140"/>
          <w:tab w:val="num" w:pos="720"/>
        </w:tabs>
        <w:ind w:left="720" w:hanging="720"/>
        <w:jc w:val="both"/>
      </w:pPr>
      <w:r>
        <w:t>Background</w:t>
      </w:r>
    </w:p>
    <w:p w14:paraId="6F0950CF" w14:textId="5C705122" w:rsidR="00F678F5" w:rsidRDefault="00E26E6A" w:rsidP="00D61E87">
      <w:pPr>
        <w:pStyle w:val="NO"/>
        <w:ind w:left="0" w:firstLine="0"/>
      </w:pPr>
      <w:r w:rsidRPr="00CA5BE5">
        <w:t xml:space="preserve">In </w:t>
      </w:r>
      <w:r>
        <w:t>RAN</w:t>
      </w:r>
      <w:r w:rsidR="00D132FE">
        <w:t>1</w:t>
      </w:r>
      <w:r>
        <w:t>#</w:t>
      </w:r>
      <w:r w:rsidR="00D132FE">
        <w:t>10</w:t>
      </w:r>
      <w:r w:rsidR="001568D0">
        <w:t>7</w:t>
      </w:r>
      <w:r w:rsidR="000E6EEA">
        <w:t>-</w:t>
      </w:r>
      <w:r>
        <w:t xml:space="preserve">e, the following </w:t>
      </w:r>
      <w:r w:rsidR="00D132FE">
        <w:t>agreements for</w:t>
      </w:r>
      <w:r>
        <w:t xml:space="preserve"> eMTC/NB-IoT over NTN </w:t>
      </w:r>
      <w:r w:rsidR="00D132FE">
        <w:t>were made</w:t>
      </w:r>
      <w:r w:rsidR="00ED1C72">
        <w:t xml:space="preserve"> with regards to this agenda item</w:t>
      </w:r>
      <w:r w:rsidRPr="00CA5BE5">
        <w:t>:</w:t>
      </w:r>
    </w:p>
    <w:p w14:paraId="47345492" w14:textId="77777777" w:rsidR="00FA2C64" w:rsidRPr="00870863" w:rsidRDefault="00FA2C64" w:rsidP="00FA2C64">
      <w:pPr>
        <w:rPr>
          <w:rFonts w:cs="Times"/>
          <w:b/>
        </w:rPr>
      </w:pPr>
      <w:r w:rsidRPr="00870863">
        <w:rPr>
          <w:rFonts w:cs="Times"/>
          <w:b/>
          <w:highlight w:val="green"/>
        </w:rPr>
        <w:t>Agreement</w:t>
      </w:r>
    </w:p>
    <w:p w14:paraId="3D9D44A6" w14:textId="77777777" w:rsidR="00FA2C64" w:rsidRDefault="00FA2C64" w:rsidP="00FA2C64">
      <w:pPr>
        <w:rPr>
          <w:lang w:eastAsia="x-none"/>
        </w:rPr>
      </w:pPr>
      <w:r>
        <w:rPr>
          <w:lang w:eastAsia="zh-CN"/>
        </w:rPr>
        <w:t xml:space="preserve">For IoT NTN, </w:t>
      </w:r>
      <w:r>
        <w:rPr>
          <w:lang w:eastAsia="x-none"/>
        </w:rPr>
        <w:t>signalling one value for cell-specific K_offset in system information is supported.</w:t>
      </w:r>
    </w:p>
    <w:p w14:paraId="555F6573" w14:textId="77777777" w:rsidR="00FA2C64" w:rsidRDefault="00FA2C64" w:rsidP="00FA2C64">
      <w:pPr>
        <w:rPr>
          <w:lang w:eastAsia="x-none"/>
        </w:rPr>
      </w:pPr>
    </w:p>
    <w:p w14:paraId="47C3E21D" w14:textId="77777777" w:rsidR="00FA2C64" w:rsidRPr="00870863" w:rsidRDefault="00FA2C64" w:rsidP="00FA2C64">
      <w:pPr>
        <w:rPr>
          <w:rFonts w:cs="Times"/>
          <w:b/>
        </w:rPr>
      </w:pPr>
      <w:r w:rsidRPr="00870863">
        <w:rPr>
          <w:rFonts w:cs="Times"/>
          <w:b/>
          <w:highlight w:val="green"/>
        </w:rPr>
        <w:t>Agreement</w:t>
      </w:r>
    </w:p>
    <w:p w14:paraId="40C65D9C" w14:textId="77777777" w:rsidR="00FA2C64" w:rsidRDefault="00FA2C64" w:rsidP="00FA2C64">
      <w:pPr>
        <w:rPr>
          <w:lang w:eastAsia="x-none"/>
        </w:rPr>
      </w:pPr>
      <w:r>
        <w:rPr>
          <w:lang w:eastAsia="x-none"/>
        </w:rPr>
        <w:t>For IoT NTN, t</w:t>
      </w:r>
      <w:r w:rsidRPr="00EA4724">
        <w:rPr>
          <w:lang w:eastAsia="x-none"/>
        </w:rPr>
        <w:t xml:space="preserve">he unit of K_offset is </w:t>
      </w:r>
      <w:r>
        <w:rPr>
          <w:lang w:eastAsia="x-none"/>
        </w:rPr>
        <w:t>subframe based on</w:t>
      </w:r>
      <w:r w:rsidRPr="00EA4724">
        <w:rPr>
          <w:lang w:eastAsia="x-none"/>
        </w:rPr>
        <w:t xml:space="preserve"> a </w:t>
      </w:r>
      <w:r>
        <w:rPr>
          <w:lang w:eastAsia="x-none"/>
        </w:rPr>
        <w:t>15kHz</w:t>
      </w:r>
      <w:r w:rsidRPr="00EA4724">
        <w:rPr>
          <w:lang w:eastAsia="x-none"/>
        </w:rPr>
        <w:t xml:space="preserve"> subcarrier spacing</w:t>
      </w:r>
      <w:r>
        <w:rPr>
          <w:lang w:eastAsia="x-none"/>
        </w:rPr>
        <w:t xml:space="preserve"> (i.e. 1 ms)</w:t>
      </w:r>
      <w:r w:rsidRPr="00EA4724">
        <w:rPr>
          <w:lang w:eastAsia="x-none"/>
        </w:rPr>
        <w:t>.</w:t>
      </w:r>
    </w:p>
    <w:p w14:paraId="1501F2CE" w14:textId="77777777" w:rsidR="00FA2C64" w:rsidRDefault="00FA2C64" w:rsidP="00FA2C64">
      <w:pPr>
        <w:numPr>
          <w:ilvl w:val="0"/>
          <w:numId w:val="43"/>
        </w:numPr>
        <w:spacing w:after="0"/>
        <w:rPr>
          <w:lang w:eastAsia="x-none"/>
        </w:rPr>
      </w:pPr>
      <w:r>
        <w:rPr>
          <w:rFonts w:hint="eastAsia"/>
          <w:lang w:eastAsia="x-none"/>
        </w:rPr>
        <w:t xml:space="preserve">Further discuss the case where UL </w:t>
      </w:r>
      <w:r>
        <w:rPr>
          <w:lang w:eastAsia="x-none"/>
        </w:rPr>
        <w:t>is using 3.75 kHz SCS</w:t>
      </w:r>
    </w:p>
    <w:p w14:paraId="06CC871B" w14:textId="77777777" w:rsidR="00FA2C64" w:rsidRDefault="00FA2C64" w:rsidP="00FA2C64">
      <w:pPr>
        <w:rPr>
          <w:lang w:eastAsia="x-none"/>
        </w:rPr>
      </w:pPr>
    </w:p>
    <w:p w14:paraId="6F67C81C" w14:textId="77777777" w:rsidR="00FA2C64" w:rsidRPr="00870863" w:rsidRDefault="00FA2C64" w:rsidP="00FA2C64">
      <w:pPr>
        <w:rPr>
          <w:rFonts w:cs="Times"/>
          <w:b/>
        </w:rPr>
      </w:pPr>
      <w:r w:rsidRPr="00870863">
        <w:rPr>
          <w:rFonts w:cs="Times"/>
          <w:b/>
          <w:highlight w:val="green"/>
        </w:rPr>
        <w:t>Agreement</w:t>
      </w:r>
    </w:p>
    <w:p w14:paraId="7B74C7F0" w14:textId="77777777" w:rsidR="00FA2C64" w:rsidRDefault="00FA2C64" w:rsidP="00FA2C64">
      <w:pPr>
        <w:rPr>
          <w:lang w:eastAsia="zh-CN"/>
        </w:rPr>
      </w:pPr>
      <w:r>
        <w:rPr>
          <w:lang w:eastAsia="zh-CN"/>
        </w:rPr>
        <w:t>For</w:t>
      </w:r>
      <w:r w:rsidRPr="009B501E">
        <w:rPr>
          <w:lang w:eastAsia="zh-CN"/>
        </w:rPr>
        <w:t xml:space="preserve"> IoT NTN,</w:t>
      </w:r>
      <w:r>
        <w:rPr>
          <w:lang w:eastAsia="zh-CN"/>
        </w:rPr>
        <w:t xml:space="preserve"> </w:t>
      </w:r>
      <w:r w:rsidRPr="009B501E">
        <w:rPr>
          <w:lang w:eastAsia="zh-CN"/>
        </w:rPr>
        <w:t xml:space="preserve">the UE specific K_offset is provided and updated by </w:t>
      </w:r>
      <w:r>
        <w:rPr>
          <w:lang w:eastAsia="zh-CN"/>
        </w:rPr>
        <w:t xml:space="preserve">the </w:t>
      </w:r>
      <w:r w:rsidRPr="009B501E">
        <w:rPr>
          <w:lang w:eastAsia="zh-CN"/>
        </w:rPr>
        <w:t xml:space="preserve">network </w:t>
      </w:r>
      <w:r>
        <w:rPr>
          <w:lang w:eastAsia="zh-CN"/>
        </w:rPr>
        <w:t xml:space="preserve">using </w:t>
      </w:r>
      <w:r w:rsidRPr="009B501E">
        <w:rPr>
          <w:lang w:eastAsia="zh-CN"/>
        </w:rPr>
        <w:t>MAC CE.</w:t>
      </w:r>
    </w:p>
    <w:p w14:paraId="4A274670" w14:textId="77777777" w:rsidR="00FA2C64" w:rsidRDefault="00FA2C64" w:rsidP="00FA2C64">
      <w:pPr>
        <w:rPr>
          <w:lang w:eastAsia="zh-CN"/>
        </w:rPr>
      </w:pPr>
    </w:p>
    <w:p w14:paraId="5FC60117" w14:textId="77777777" w:rsidR="00FA2C64" w:rsidRPr="00870863" w:rsidRDefault="00FA2C64" w:rsidP="00FA2C64">
      <w:pPr>
        <w:rPr>
          <w:rFonts w:cs="Times"/>
          <w:b/>
        </w:rPr>
      </w:pPr>
      <w:r w:rsidRPr="00870863">
        <w:rPr>
          <w:rFonts w:cs="Times"/>
          <w:b/>
          <w:highlight w:val="green"/>
        </w:rPr>
        <w:t>Agreement</w:t>
      </w:r>
    </w:p>
    <w:p w14:paraId="4A24B75B" w14:textId="77777777" w:rsidR="00FA2C64" w:rsidRDefault="00FA2C64" w:rsidP="00FA2C64">
      <w:pPr>
        <w:rPr>
          <w:bCs/>
        </w:rPr>
      </w:pPr>
      <w:r w:rsidRPr="00870863">
        <w:rPr>
          <w:bCs/>
          <w:color w:val="000000"/>
          <w:lang w:eastAsia="zh-CN"/>
        </w:rPr>
        <w:t xml:space="preserve">For IoT NTN, </w:t>
      </w:r>
      <w:r w:rsidRPr="00F239E4">
        <w:rPr>
          <w:bCs/>
        </w:rPr>
        <w:t>the information of K_mac is carried in system information.</w:t>
      </w:r>
    </w:p>
    <w:p w14:paraId="7D9AFC64" w14:textId="77777777" w:rsidR="00FA2C64" w:rsidRDefault="00FA2C64" w:rsidP="00FA2C64"/>
    <w:p w14:paraId="3DD17C78" w14:textId="77777777" w:rsidR="00FA2C64" w:rsidRPr="00870863" w:rsidRDefault="00FA2C64" w:rsidP="00FA2C64">
      <w:pPr>
        <w:rPr>
          <w:rFonts w:cs="Times"/>
          <w:b/>
        </w:rPr>
      </w:pPr>
      <w:r w:rsidRPr="00870863">
        <w:rPr>
          <w:rFonts w:cs="Times"/>
          <w:b/>
          <w:highlight w:val="green"/>
        </w:rPr>
        <w:t>Agreement</w:t>
      </w:r>
    </w:p>
    <w:p w14:paraId="28A0D00D" w14:textId="77777777" w:rsidR="00FA2C64" w:rsidRDefault="00FA2C64" w:rsidP="00FA2C64">
      <w:pPr>
        <w:rPr>
          <w:lang w:eastAsia="x-none"/>
        </w:rPr>
      </w:pPr>
      <w:r w:rsidRPr="00870863">
        <w:rPr>
          <w:bCs/>
          <w:color w:val="000000"/>
          <w:lang w:eastAsia="zh-CN"/>
        </w:rPr>
        <w:t xml:space="preserve">For IoT NTN, </w:t>
      </w:r>
      <w:r>
        <w:t>t</w:t>
      </w:r>
      <w:r w:rsidRPr="00466E56">
        <w:t xml:space="preserve">he unit of K_mac </w:t>
      </w:r>
      <w:r w:rsidRPr="00EA4724">
        <w:rPr>
          <w:lang w:eastAsia="x-none"/>
        </w:rPr>
        <w:t xml:space="preserve">is </w:t>
      </w:r>
      <w:r>
        <w:rPr>
          <w:lang w:eastAsia="x-none"/>
        </w:rPr>
        <w:t>subframe based on</w:t>
      </w:r>
      <w:r w:rsidRPr="00EA4724">
        <w:rPr>
          <w:lang w:eastAsia="x-none"/>
        </w:rPr>
        <w:t xml:space="preserve"> a </w:t>
      </w:r>
      <w:r>
        <w:rPr>
          <w:lang w:eastAsia="x-none"/>
        </w:rPr>
        <w:t>15kHz</w:t>
      </w:r>
      <w:r w:rsidRPr="00EA4724">
        <w:rPr>
          <w:lang w:eastAsia="x-none"/>
        </w:rPr>
        <w:t xml:space="preserve"> subcarrier spacing</w:t>
      </w:r>
      <w:r>
        <w:rPr>
          <w:lang w:eastAsia="x-none"/>
        </w:rPr>
        <w:t xml:space="preserve"> (i.e. 1 ms)</w:t>
      </w:r>
      <w:r w:rsidRPr="00EA4724">
        <w:rPr>
          <w:lang w:eastAsia="x-none"/>
        </w:rPr>
        <w:t>.</w:t>
      </w:r>
    </w:p>
    <w:p w14:paraId="3C5A4F00" w14:textId="77777777" w:rsidR="00FA2C64" w:rsidRDefault="00FA2C64" w:rsidP="00FA2C64">
      <w:pPr>
        <w:numPr>
          <w:ilvl w:val="0"/>
          <w:numId w:val="43"/>
        </w:numPr>
        <w:spacing w:after="0"/>
        <w:rPr>
          <w:lang w:eastAsia="x-none"/>
        </w:rPr>
      </w:pPr>
      <w:r>
        <w:rPr>
          <w:rFonts w:hint="eastAsia"/>
          <w:lang w:eastAsia="x-none"/>
        </w:rPr>
        <w:t xml:space="preserve">Further discuss the case where UL </w:t>
      </w:r>
      <w:r>
        <w:rPr>
          <w:lang w:eastAsia="x-none"/>
        </w:rPr>
        <w:t>is using 3.75 kHz SCS</w:t>
      </w:r>
    </w:p>
    <w:p w14:paraId="6F958964" w14:textId="77777777" w:rsidR="00FA2C64" w:rsidRDefault="00FA2C64" w:rsidP="00FA2C64">
      <w:pPr>
        <w:rPr>
          <w:lang w:eastAsia="x-none"/>
        </w:rPr>
      </w:pPr>
    </w:p>
    <w:p w14:paraId="56C4ABBA" w14:textId="77777777" w:rsidR="00FA2C64" w:rsidRPr="00870863" w:rsidRDefault="00FA2C64" w:rsidP="00FA2C64">
      <w:pPr>
        <w:rPr>
          <w:rFonts w:cs="Times"/>
          <w:b/>
        </w:rPr>
      </w:pPr>
      <w:r w:rsidRPr="00870863">
        <w:rPr>
          <w:rFonts w:cs="Times"/>
          <w:b/>
          <w:highlight w:val="green"/>
        </w:rPr>
        <w:t>Agreement</w:t>
      </w:r>
    </w:p>
    <w:p w14:paraId="51FCD5B6" w14:textId="77777777" w:rsidR="00FA2C64" w:rsidRPr="00074548" w:rsidRDefault="00FA2C64" w:rsidP="00FA2C64">
      <w:pPr>
        <w:spacing w:after="160"/>
        <w:rPr>
          <w:rFonts w:ascii="Calibri" w:hAnsi="Calibri"/>
        </w:rPr>
      </w:pPr>
      <w:r w:rsidRPr="0074636A">
        <w:rPr>
          <w:lang w:eastAsia="zh-CN"/>
        </w:rPr>
        <w:t>Modification of the designation of subframes with NPDCCH monitoring restrictions is needed for at least Cases 1 to 6.</w:t>
      </w:r>
    </w:p>
    <w:p w14:paraId="6B9F8A78" w14:textId="77777777" w:rsidR="00FA2C64" w:rsidRDefault="00FA2C64" w:rsidP="00FA2C64"/>
    <w:p w14:paraId="62901840" w14:textId="77777777" w:rsidR="00FA2C64" w:rsidRPr="00870863" w:rsidRDefault="00FA2C64" w:rsidP="00FA2C64">
      <w:pPr>
        <w:rPr>
          <w:rFonts w:cs="Times"/>
          <w:b/>
        </w:rPr>
      </w:pPr>
      <w:bookmarkStart w:id="2" w:name="_Hlk87952794"/>
      <w:r w:rsidRPr="00870863">
        <w:rPr>
          <w:rFonts w:cs="Times"/>
          <w:b/>
          <w:highlight w:val="green"/>
        </w:rPr>
        <w:t>Agreement</w:t>
      </w:r>
    </w:p>
    <w:p w14:paraId="4CFF366D" w14:textId="77777777" w:rsidR="00FA2C64" w:rsidRDefault="00FA2C64" w:rsidP="00FA2C64">
      <w:pPr>
        <w:rPr>
          <w:rFonts w:eastAsia="DengXian"/>
        </w:rPr>
      </w:pPr>
      <w:r>
        <w:rPr>
          <w:rFonts w:eastAsia="DengXian"/>
        </w:rPr>
        <w:t>Whether/h</w:t>
      </w:r>
      <w:r w:rsidRPr="00F90056">
        <w:rPr>
          <w:rFonts w:eastAsia="DengXian"/>
        </w:rPr>
        <w:t>ow the “indicated value” of K_offset is translated into number of slots for different numerologies (i.e., 15 kHz and 3.75 kHz) is left to the spec-editor.</w:t>
      </w:r>
    </w:p>
    <w:p w14:paraId="75D7D201" w14:textId="77777777" w:rsidR="00FA2C64" w:rsidRPr="00F90056" w:rsidRDefault="00FA2C64" w:rsidP="00FA2C64">
      <w:pPr>
        <w:numPr>
          <w:ilvl w:val="0"/>
          <w:numId w:val="43"/>
        </w:numPr>
        <w:spacing w:after="0"/>
        <w:rPr>
          <w:rFonts w:eastAsia="DengXian"/>
        </w:rPr>
      </w:pPr>
      <w:r>
        <w:rPr>
          <w:rFonts w:eastAsia="DengXian" w:hint="eastAsia"/>
        </w:rPr>
        <w:t>This resolves the bullet</w:t>
      </w:r>
      <w:r>
        <w:rPr>
          <w:rFonts w:eastAsia="DengXian"/>
        </w:rPr>
        <w:t xml:space="preserve"> from previous agreement</w:t>
      </w:r>
      <w:r>
        <w:rPr>
          <w:rFonts w:eastAsia="DengXian" w:hint="eastAsia"/>
        </w:rPr>
        <w:t xml:space="preserve">: </w:t>
      </w:r>
      <w:r>
        <w:rPr>
          <w:rFonts w:hint="eastAsia"/>
          <w:lang w:eastAsia="x-none"/>
        </w:rPr>
        <w:t xml:space="preserve">Further discuss the case where UL </w:t>
      </w:r>
      <w:r>
        <w:rPr>
          <w:lang w:eastAsia="x-none"/>
        </w:rPr>
        <w:t>is using 3.75 kHz SCS</w:t>
      </w:r>
    </w:p>
    <w:p w14:paraId="73A06B78" w14:textId="77777777" w:rsidR="00FA2C64" w:rsidRDefault="00FA2C64" w:rsidP="00FA2C64">
      <w:pPr>
        <w:rPr>
          <w:rFonts w:eastAsia="DengXian"/>
          <w:b/>
          <w:bCs/>
        </w:rPr>
      </w:pPr>
    </w:p>
    <w:p w14:paraId="6C47C537" w14:textId="77777777" w:rsidR="00FA2C64" w:rsidRPr="00870863" w:rsidRDefault="00FA2C64" w:rsidP="00FA2C64">
      <w:pPr>
        <w:rPr>
          <w:rFonts w:cs="Times"/>
          <w:b/>
        </w:rPr>
      </w:pPr>
      <w:r w:rsidRPr="00870863">
        <w:rPr>
          <w:rFonts w:cs="Times"/>
          <w:b/>
          <w:highlight w:val="green"/>
        </w:rPr>
        <w:lastRenderedPageBreak/>
        <w:t>Agreement</w:t>
      </w:r>
    </w:p>
    <w:p w14:paraId="1865BB1B" w14:textId="77777777" w:rsidR="00FA2C64" w:rsidRDefault="00FA2C64" w:rsidP="00FA2C64">
      <w:pPr>
        <w:rPr>
          <w:lang w:eastAsia="zh-CN"/>
        </w:rPr>
      </w:pPr>
      <w:r>
        <w:rPr>
          <w:lang w:eastAsia="zh-CN"/>
        </w:rPr>
        <w:t>For IoT NTN, adopt the NR NTN agreement without modification for FR1: (a) the value range (i.e. 1 ms), (b) the quantity signalled (e.g. a differential UE specific K_offset) for the UE specific K_offset.</w:t>
      </w:r>
    </w:p>
    <w:p w14:paraId="11C7B27C" w14:textId="77777777" w:rsidR="00FA2C64" w:rsidRDefault="00FA2C64" w:rsidP="00FA2C64">
      <w:pPr>
        <w:rPr>
          <w:rFonts w:eastAsia="DengXian"/>
          <w:b/>
          <w:bCs/>
        </w:rPr>
      </w:pPr>
    </w:p>
    <w:p w14:paraId="3516F0F3" w14:textId="77777777" w:rsidR="00FA2C64" w:rsidRPr="00870863" w:rsidRDefault="00FA2C64" w:rsidP="00FA2C64">
      <w:pPr>
        <w:rPr>
          <w:rFonts w:cs="Times"/>
          <w:b/>
        </w:rPr>
      </w:pPr>
      <w:r w:rsidRPr="00870863">
        <w:rPr>
          <w:rFonts w:cs="Times"/>
          <w:b/>
          <w:highlight w:val="green"/>
        </w:rPr>
        <w:t>Agreement</w:t>
      </w:r>
    </w:p>
    <w:p w14:paraId="4C267311" w14:textId="77777777" w:rsidR="00FA2C64" w:rsidRDefault="00FA2C64" w:rsidP="00FA2C64">
      <w:pPr>
        <w:rPr>
          <w:lang w:eastAsia="zh-CN"/>
        </w:rPr>
      </w:pPr>
      <w:r>
        <w:rPr>
          <w:lang w:eastAsia="zh-CN"/>
        </w:rPr>
        <w:t>For IoT NTN, adopt the NR NTN agreement without modification for FR1 for the value range of Kmac.</w:t>
      </w:r>
    </w:p>
    <w:bookmarkEnd w:id="2"/>
    <w:p w14:paraId="7A193661" w14:textId="77777777" w:rsidR="00FA2C64" w:rsidRDefault="00FA2C64" w:rsidP="00FA2C64"/>
    <w:p w14:paraId="344813F6" w14:textId="77777777" w:rsidR="00FA2C64" w:rsidRPr="00F16536" w:rsidRDefault="00FA2C64" w:rsidP="00FA2C64">
      <w:pPr>
        <w:pStyle w:val="xmsonormal"/>
        <w:rPr>
          <w:rFonts w:ascii="Times New Roman" w:hAnsi="Times New Roman" w:cs="Times New Roman"/>
          <w:sz w:val="20"/>
          <w:szCs w:val="20"/>
        </w:rPr>
      </w:pPr>
      <w:bookmarkStart w:id="3" w:name="_Hlk88128707"/>
      <w:r w:rsidRPr="00F16536">
        <w:rPr>
          <w:rFonts w:ascii="Times New Roman" w:hAnsi="Times New Roman" w:cs="Times New Roman"/>
          <w:sz w:val="20"/>
          <w:szCs w:val="20"/>
        </w:rPr>
        <w:t>Leave it to spec editor to formulate in the specs the NPDCCH monitoring restrictions for Cases 1 to 6. </w:t>
      </w:r>
    </w:p>
    <w:p w14:paraId="4C328D6C" w14:textId="77777777" w:rsidR="00FA2C64" w:rsidRPr="00F16536" w:rsidRDefault="00FA2C64" w:rsidP="00FA2C64">
      <w:pPr>
        <w:rPr>
          <w:iCs/>
        </w:rPr>
      </w:pPr>
    </w:p>
    <w:p w14:paraId="4A6845E5" w14:textId="77777777" w:rsidR="00FA2C64" w:rsidRPr="00F16536" w:rsidRDefault="00FA2C64" w:rsidP="00FA2C64">
      <w:pPr>
        <w:rPr>
          <w:iCs/>
          <w:u w:val="single"/>
        </w:rPr>
      </w:pPr>
      <w:r w:rsidRPr="00F16536">
        <w:rPr>
          <w:iCs/>
          <w:u w:val="single"/>
        </w:rPr>
        <w:t>Explanatory Note</w:t>
      </w:r>
      <w:r>
        <w:rPr>
          <w:iCs/>
          <w:u w:val="single"/>
        </w:rPr>
        <w:t xml:space="preserve"> for editor</w:t>
      </w:r>
    </w:p>
    <w:p w14:paraId="1D4E3DFB" w14:textId="77777777" w:rsidR="00FA2C64" w:rsidRPr="00F16536" w:rsidRDefault="00FA2C64" w:rsidP="00FA2C64">
      <w:pPr>
        <w:pStyle w:val="xmsonormal"/>
        <w:rPr>
          <w:rFonts w:ascii="Times New Roman" w:hAnsi="Times New Roman" w:cs="Times New Roman"/>
          <w:sz w:val="20"/>
          <w:szCs w:val="20"/>
        </w:rPr>
      </w:pPr>
      <w:r w:rsidRPr="00F16536">
        <w:rPr>
          <w:rFonts w:ascii="Times New Roman" w:hAnsi="Times New Roman" w:cs="Times New Roman"/>
          <w:sz w:val="20"/>
          <w:szCs w:val="20"/>
        </w:rPr>
        <w:t xml:space="preserve">When the UE changes from receiving on the DL to transmitting on the UL (or vice versa), immediately before/after the DL/UL switch the UE is not required to monitor an NPDCCH candidate in some DL subframes. The designation of these subframes in the spec needs to take the “effect” of the TA into consideration. There may be multiple ways to capture this in the specifications for (at least) Cases 1 to 6. Two options (in principle) are described below, to guide the spec editor to capture this as best he/she sees it. </w:t>
      </w:r>
      <w:r>
        <w:rPr>
          <w:rFonts w:ascii="Times New Roman" w:hAnsi="Times New Roman" w:cs="Times New Roman"/>
          <w:sz w:val="20"/>
          <w:szCs w:val="20"/>
        </w:rPr>
        <w:t xml:space="preserve">Examples of where the changes may apply for cases 1 to 6 can be found as examples in appendix A in </w:t>
      </w:r>
      <w:r w:rsidRPr="002E30CD">
        <w:rPr>
          <w:rFonts w:ascii="Times New Roman" w:hAnsi="Times New Roman" w:cs="Times New Roman"/>
          <w:sz w:val="20"/>
          <w:szCs w:val="20"/>
          <w:lang w:val="en-GB"/>
        </w:rPr>
        <w:t>R1-2112554</w:t>
      </w:r>
      <w:r>
        <w:rPr>
          <w:rFonts w:ascii="Times New Roman" w:hAnsi="Times New Roman" w:cs="Times New Roman"/>
          <w:b/>
          <w:sz w:val="20"/>
          <w:szCs w:val="20"/>
          <w:lang w:val="en-GB"/>
        </w:rPr>
        <w:t>.</w:t>
      </w:r>
    </w:p>
    <w:p w14:paraId="5DAC8D37" w14:textId="77777777" w:rsidR="00FA2C64" w:rsidRPr="00F16536" w:rsidRDefault="00FA2C64" w:rsidP="00FA2C64">
      <w:pPr>
        <w:pStyle w:val="xmsonormal"/>
        <w:rPr>
          <w:rFonts w:ascii="Times New Roman" w:hAnsi="Times New Roman" w:cs="Times New Roman"/>
          <w:sz w:val="20"/>
          <w:szCs w:val="20"/>
        </w:rPr>
      </w:pPr>
    </w:p>
    <w:p w14:paraId="3FB25850" w14:textId="77777777" w:rsidR="00FA2C64" w:rsidRPr="00F16536" w:rsidRDefault="00FA2C64" w:rsidP="00FA2C64">
      <w:pPr>
        <w:pStyle w:val="xmsonormal"/>
        <w:rPr>
          <w:rFonts w:ascii="Times New Roman" w:hAnsi="Times New Roman" w:cs="Times New Roman"/>
          <w:sz w:val="20"/>
          <w:szCs w:val="20"/>
        </w:rPr>
      </w:pPr>
      <w:r w:rsidRPr="00F16536">
        <w:rPr>
          <w:rFonts w:ascii="Times New Roman" w:hAnsi="Times New Roman" w:cs="Times New Roman"/>
          <w:b/>
          <w:bCs/>
          <w:sz w:val="20"/>
          <w:szCs w:val="20"/>
        </w:rPr>
        <w:t>Option 1</w:t>
      </w:r>
      <w:r w:rsidRPr="00F16536">
        <w:rPr>
          <w:rFonts w:ascii="Times New Roman" w:hAnsi="Times New Roman" w:cs="Times New Roman"/>
          <w:sz w:val="20"/>
          <w:szCs w:val="20"/>
        </w:rPr>
        <w:t>: The DL subframes during which the UE is not required to monitor an NPDCCH candidate are described in terms of downlink subframe timing. This would typically involve inserting a “-TA” term in their indexing.</w:t>
      </w:r>
    </w:p>
    <w:p w14:paraId="37F2CD07" w14:textId="77777777" w:rsidR="00FA2C64" w:rsidRPr="00F16536" w:rsidRDefault="00FA2C64" w:rsidP="00FA2C64">
      <w:pPr>
        <w:pStyle w:val="xmsonormal"/>
        <w:rPr>
          <w:rFonts w:ascii="Times New Roman" w:hAnsi="Times New Roman" w:cs="Times New Roman"/>
          <w:sz w:val="20"/>
          <w:szCs w:val="20"/>
        </w:rPr>
      </w:pPr>
      <w:r w:rsidRPr="00F16536">
        <w:rPr>
          <w:rFonts w:ascii="Times New Roman" w:hAnsi="Times New Roman" w:cs="Times New Roman"/>
          <w:sz w:val="20"/>
          <w:szCs w:val="20"/>
        </w:rPr>
        <w:t> </w:t>
      </w:r>
    </w:p>
    <w:p w14:paraId="78B068D2" w14:textId="77777777" w:rsidR="00FA2C64" w:rsidRPr="00F16536" w:rsidRDefault="00FA2C64" w:rsidP="00FA2C64">
      <w:pPr>
        <w:pStyle w:val="xmsonormal"/>
        <w:rPr>
          <w:rFonts w:ascii="Times New Roman" w:hAnsi="Times New Roman" w:cs="Times New Roman"/>
          <w:sz w:val="20"/>
          <w:szCs w:val="20"/>
        </w:rPr>
      </w:pPr>
      <w:r w:rsidRPr="00F16536">
        <w:rPr>
          <w:rFonts w:ascii="Times New Roman" w:hAnsi="Times New Roman" w:cs="Times New Roman"/>
          <w:b/>
          <w:bCs/>
          <w:sz w:val="20"/>
          <w:szCs w:val="20"/>
        </w:rPr>
        <w:t>Option 2</w:t>
      </w:r>
      <w:r w:rsidRPr="00F16536">
        <w:rPr>
          <w:rFonts w:ascii="Times New Roman" w:hAnsi="Times New Roman" w:cs="Times New Roman"/>
          <w:sz w:val="20"/>
          <w:szCs w:val="20"/>
        </w:rPr>
        <w:t xml:space="preserve">: The DL subframes during which the UE is not required to monitor an NPDCCH candidate are described in terms of uplink subframe timing using the indexing of the UL subframes that </w:t>
      </w:r>
      <w:r>
        <w:rPr>
          <w:rFonts w:ascii="Times New Roman" w:hAnsi="Times New Roman" w:cs="Times New Roman"/>
          <w:sz w:val="20"/>
          <w:szCs w:val="20"/>
        </w:rPr>
        <w:t>coincide</w:t>
      </w:r>
      <w:r w:rsidRPr="00F16536">
        <w:rPr>
          <w:rFonts w:ascii="Times New Roman" w:hAnsi="Times New Roman" w:cs="Times New Roman"/>
          <w:sz w:val="20"/>
          <w:szCs w:val="20"/>
        </w:rPr>
        <w:t xml:space="preserve"> </w:t>
      </w:r>
      <w:r>
        <w:rPr>
          <w:rFonts w:ascii="Times New Roman" w:hAnsi="Times New Roman" w:cs="Times New Roman"/>
          <w:sz w:val="20"/>
          <w:szCs w:val="20"/>
        </w:rPr>
        <w:t xml:space="preserve">in time </w:t>
      </w:r>
      <w:r w:rsidRPr="00F16536">
        <w:rPr>
          <w:rFonts w:ascii="Times New Roman" w:hAnsi="Times New Roman" w:cs="Times New Roman"/>
          <w:sz w:val="20"/>
          <w:szCs w:val="20"/>
        </w:rPr>
        <w:t>with the DL subframes in question.</w:t>
      </w:r>
    </w:p>
    <w:bookmarkEnd w:id="3"/>
    <w:p w14:paraId="2980E90B" w14:textId="77777777" w:rsidR="00FA2C64" w:rsidRDefault="00FA2C64" w:rsidP="00FA2C64">
      <w:pPr>
        <w:rPr>
          <w:lang w:eastAsia="x-none"/>
        </w:rPr>
      </w:pPr>
    </w:p>
    <w:p w14:paraId="51792210" w14:textId="77777777" w:rsidR="00FA2C64" w:rsidRPr="00FF668E" w:rsidRDefault="00FA2C64" w:rsidP="00FA2C64">
      <w:pPr>
        <w:rPr>
          <w:b/>
          <w:lang w:eastAsia="x-none"/>
        </w:rPr>
      </w:pPr>
      <w:r w:rsidRPr="00FF668E">
        <w:rPr>
          <w:b/>
          <w:highlight w:val="green"/>
          <w:lang w:eastAsia="x-none"/>
        </w:rPr>
        <w:t>Agreement</w:t>
      </w:r>
    </w:p>
    <w:p w14:paraId="2F1C9C33" w14:textId="77777777" w:rsidR="00FA2C64" w:rsidRPr="00F16536" w:rsidRDefault="00FA2C64" w:rsidP="00FA2C64">
      <w:pPr>
        <w:pStyle w:val="NoSpacing"/>
        <w:autoSpaceDE w:val="0"/>
        <w:autoSpaceDN w:val="0"/>
        <w:adjustRightInd w:val="0"/>
        <w:snapToGrid w:val="0"/>
        <w:jc w:val="both"/>
        <w:rPr>
          <w:rFonts w:ascii="Times New Roman" w:hAnsi="Times New Roman"/>
          <w:sz w:val="20"/>
          <w:szCs w:val="20"/>
        </w:rPr>
      </w:pPr>
      <w:r w:rsidRPr="00F16536">
        <w:rPr>
          <w:rFonts w:ascii="Times New Roman" w:hAnsi="Times New Roman"/>
          <w:sz w:val="20"/>
          <w:szCs w:val="20"/>
        </w:rPr>
        <w:t xml:space="preserve">Network can configure UE-specific TA reporting either a </w:t>
      </w:r>
      <w:r>
        <w:rPr>
          <w:rFonts w:ascii="Times New Roman" w:hAnsi="Times New Roman"/>
          <w:sz w:val="20"/>
          <w:szCs w:val="20"/>
        </w:rPr>
        <w:t>TA</w:t>
      </w:r>
      <w:r w:rsidRPr="00F16536">
        <w:rPr>
          <w:rFonts w:ascii="Times New Roman" w:hAnsi="Times New Roman"/>
          <w:sz w:val="20"/>
          <w:szCs w:val="20"/>
        </w:rPr>
        <w:t xml:space="preserve"> or UE location</w:t>
      </w:r>
      <w:r>
        <w:rPr>
          <w:rFonts w:ascii="Times New Roman" w:hAnsi="Times New Roman"/>
          <w:sz w:val="20"/>
          <w:szCs w:val="20"/>
        </w:rPr>
        <w:t xml:space="preserve"> </w:t>
      </w:r>
      <w:r w:rsidRPr="003133F2">
        <w:rPr>
          <w:rFonts w:ascii="Times New Roman" w:hAnsi="Times New Roman"/>
          <w:sz w:val="20"/>
          <w:szCs w:val="20"/>
        </w:rPr>
        <w:t>for connected mode UE</w:t>
      </w:r>
    </w:p>
    <w:p w14:paraId="77A128F1" w14:textId="77777777" w:rsidR="00FA2C64" w:rsidRPr="00F16536" w:rsidRDefault="00FA2C64" w:rsidP="00FA2C64">
      <w:pPr>
        <w:pStyle w:val="NoSpacing"/>
        <w:numPr>
          <w:ilvl w:val="0"/>
          <w:numId w:val="45"/>
        </w:numPr>
        <w:autoSpaceDE w:val="0"/>
        <w:autoSpaceDN w:val="0"/>
        <w:adjustRightInd w:val="0"/>
        <w:snapToGrid w:val="0"/>
        <w:ind w:leftChars="160" w:left="680"/>
        <w:jc w:val="both"/>
        <w:rPr>
          <w:rFonts w:ascii="Times New Roman" w:hAnsi="Times New Roman"/>
          <w:sz w:val="20"/>
          <w:szCs w:val="20"/>
        </w:rPr>
      </w:pPr>
      <w:r w:rsidRPr="00F16536">
        <w:rPr>
          <w:rFonts w:ascii="Times New Roman" w:hAnsi="Times New Roman"/>
          <w:sz w:val="20"/>
          <w:szCs w:val="20"/>
        </w:rPr>
        <w:t xml:space="preserve">In case a </w:t>
      </w:r>
      <w:r>
        <w:rPr>
          <w:rFonts w:ascii="Times New Roman" w:hAnsi="Times New Roman"/>
          <w:sz w:val="20"/>
          <w:szCs w:val="20"/>
        </w:rPr>
        <w:t>TA</w:t>
      </w:r>
      <w:r w:rsidRPr="00F16536">
        <w:rPr>
          <w:rFonts w:ascii="Times New Roman" w:hAnsi="Times New Roman"/>
          <w:sz w:val="20"/>
          <w:szCs w:val="20"/>
        </w:rPr>
        <w:t xml:space="preserve"> is configured, NR NTN solutions are a baseline for the following UE-specific TA handling issues,  </w:t>
      </w:r>
    </w:p>
    <w:p w14:paraId="7CAC8C46" w14:textId="77777777" w:rsidR="00FA2C64" w:rsidRPr="00F16536" w:rsidRDefault="00FA2C64" w:rsidP="00FA2C64">
      <w:pPr>
        <w:pStyle w:val="NoSpacing"/>
        <w:numPr>
          <w:ilvl w:val="1"/>
          <w:numId w:val="44"/>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 xml:space="preserve">Signaling – quantity (full or delta), range, number of bits  </w:t>
      </w:r>
    </w:p>
    <w:p w14:paraId="028E5AD6" w14:textId="77777777" w:rsidR="00FA2C64" w:rsidRPr="00F16536" w:rsidRDefault="00FA2C64" w:rsidP="00FA2C64">
      <w:pPr>
        <w:pStyle w:val="NoSpacing"/>
        <w:numPr>
          <w:ilvl w:val="1"/>
          <w:numId w:val="44"/>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Granularity of report</w:t>
      </w:r>
    </w:p>
    <w:p w14:paraId="2A3F6B88" w14:textId="77777777" w:rsidR="00FA2C64" w:rsidRPr="00F16536" w:rsidRDefault="00FA2C64" w:rsidP="00FA2C64">
      <w:pPr>
        <w:pStyle w:val="NoSpacing"/>
        <w:numPr>
          <w:ilvl w:val="1"/>
          <w:numId w:val="44"/>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Frequency of reporting</w:t>
      </w:r>
    </w:p>
    <w:p w14:paraId="5E0D0531" w14:textId="77777777" w:rsidR="00FA2C64" w:rsidRPr="00F16536" w:rsidRDefault="00FA2C64" w:rsidP="00FA2C64">
      <w:pPr>
        <w:pStyle w:val="NoSpacing"/>
        <w:numPr>
          <w:ilvl w:val="1"/>
          <w:numId w:val="44"/>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Means of reporting</w:t>
      </w:r>
    </w:p>
    <w:p w14:paraId="348D0FE7" w14:textId="77777777" w:rsidR="00FA2C64" w:rsidRPr="00445369" w:rsidRDefault="00FA2C64" w:rsidP="00FA2C64">
      <w:pPr>
        <w:pStyle w:val="NoSpacing"/>
        <w:numPr>
          <w:ilvl w:val="1"/>
          <w:numId w:val="44"/>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NOTE: Any changes needed for IoT NTN can be made.</w:t>
      </w:r>
    </w:p>
    <w:p w14:paraId="22A7E85D" w14:textId="77777777" w:rsidR="00FA2C64" w:rsidRPr="00F16536" w:rsidRDefault="00FA2C64" w:rsidP="00FA2C64">
      <w:pPr>
        <w:pStyle w:val="NoSpacing"/>
        <w:numPr>
          <w:ilvl w:val="0"/>
          <w:numId w:val="45"/>
        </w:numPr>
        <w:autoSpaceDE w:val="0"/>
        <w:autoSpaceDN w:val="0"/>
        <w:adjustRightInd w:val="0"/>
        <w:snapToGrid w:val="0"/>
        <w:ind w:leftChars="160" w:left="680"/>
        <w:jc w:val="both"/>
        <w:rPr>
          <w:rFonts w:ascii="Times New Roman" w:hAnsi="Times New Roman"/>
          <w:sz w:val="20"/>
          <w:szCs w:val="20"/>
        </w:rPr>
      </w:pPr>
      <w:r w:rsidRPr="00F16536">
        <w:rPr>
          <w:rFonts w:ascii="Times New Roman" w:hAnsi="Times New Roman"/>
          <w:sz w:val="20"/>
          <w:szCs w:val="20"/>
        </w:rPr>
        <w:t>In case the UE location is configured, RAN</w:t>
      </w:r>
      <w:r>
        <w:rPr>
          <w:rFonts w:ascii="Times New Roman" w:hAnsi="Times New Roman"/>
          <w:sz w:val="20"/>
          <w:szCs w:val="20"/>
        </w:rPr>
        <w:t>2</w:t>
      </w:r>
      <w:r w:rsidRPr="00F16536">
        <w:rPr>
          <w:rFonts w:ascii="Times New Roman" w:hAnsi="Times New Roman"/>
          <w:sz w:val="20"/>
          <w:szCs w:val="20"/>
        </w:rPr>
        <w:t xml:space="preserve"> will design solutions for the </w:t>
      </w:r>
      <w:r>
        <w:rPr>
          <w:rFonts w:ascii="Times New Roman" w:hAnsi="Times New Roman"/>
          <w:sz w:val="20"/>
          <w:szCs w:val="20"/>
        </w:rPr>
        <w:t>UE location information, and it is left to RAN2 to decide whether to support UE location reporting</w:t>
      </w:r>
      <w:r w:rsidRPr="00F16536">
        <w:rPr>
          <w:rFonts w:ascii="Times New Roman" w:hAnsi="Times New Roman"/>
          <w:sz w:val="20"/>
          <w:szCs w:val="20"/>
        </w:rPr>
        <w:t xml:space="preserve">  </w:t>
      </w:r>
    </w:p>
    <w:p w14:paraId="5BE5688E" w14:textId="77777777" w:rsidR="00AE65F0" w:rsidRPr="00D61E87" w:rsidRDefault="00AE65F0" w:rsidP="00D61E87">
      <w:pPr>
        <w:pStyle w:val="NO"/>
        <w:ind w:left="0" w:firstLine="0"/>
      </w:pPr>
    </w:p>
    <w:p w14:paraId="5EA4A384" w14:textId="06342CDC" w:rsidR="00D132FE" w:rsidRDefault="00D132FE" w:rsidP="00E26E6A">
      <w:pPr>
        <w:pStyle w:val="NO"/>
        <w:ind w:left="0" w:firstLine="0"/>
      </w:pPr>
      <w:r>
        <w:t xml:space="preserve">In this contribution, we </w:t>
      </w:r>
      <w:r w:rsidR="00ED1C72">
        <w:t>provide our views on remaining aspects related to timing relationship enhancements.</w:t>
      </w:r>
    </w:p>
    <w:p w14:paraId="4D9C5CA3" w14:textId="77112C4F" w:rsidR="00097051" w:rsidRDefault="00F2753D" w:rsidP="00097051">
      <w:pPr>
        <w:pStyle w:val="Heading1"/>
        <w:numPr>
          <w:ilvl w:val="0"/>
          <w:numId w:val="1"/>
        </w:numPr>
        <w:tabs>
          <w:tab w:val="clear" w:pos="1140"/>
        </w:tabs>
        <w:jc w:val="both"/>
      </w:pPr>
      <w:r>
        <w:t>Monitoring restrictions due to half-duplex constraint</w:t>
      </w:r>
    </w:p>
    <w:p w14:paraId="68DDCF74" w14:textId="30C5CCE4" w:rsidR="00F2753D" w:rsidRDefault="001C5370" w:rsidP="00F2753D">
      <w:r>
        <w:t xml:space="preserve">While </w:t>
      </w:r>
      <w:r w:rsidR="00894E1A">
        <w:t xml:space="preserve">the monitoring restrictions in the downlink </w:t>
      </w:r>
      <w:r w:rsidR="00875048">
        <w:t>(</w:t>
      </w:r>
      <w:r w:rsidR="00894E1A">
        <w:t>corresponding to an uplink transmission</w:t>
      </w:r>
      <w:r w:rsidR="00875048">
        <w:t>)</w:t>
      </w:r>
      <w:r w:rsidR="00894E1A">
        <w:t xml:space="preserve"> have been captured for several cases</w:t>
      </w:r>
      <w:r w:rsidR="00875048">
        <w:t xml:space="preserve"> in TS 36.213</w:t>
      </w:r>
      <w:r w:rsidR="00894E1A">
        <w:t xml:space="preserve">, the following additional case should </w:t>
      </w:r>
      <w:r w:rsidR="00EE0880">
        <w:t>reflect</w:t>
      </w:r>
      <w:r w:rsidR="00443CD7">
        <w:t xml:space="preserve"> a</w:t>
      </w:r>
      <w:r w:rsidR="000C7209">
        <w:t xml:space="preserve"> similar understanding</w:t>
      </w:r>
      <w:r w:rsidR="001408E1">
        <w:t xml:space="preserve"> </w:t>
      </w:r>
      <w:r w:rsidR="001408E1" w:rsidRPr="001408E1">
        <w:rPr>
          <w:color w:val="C00000"/>
        </w:rPr>
        <w:t>(</w:t>
      </w:r>
      <w:r w:rsidR="00F9032C">
        <w:rPr>
          <w:color w:val="C00000"/>
        </w:rPr>
        <w:t xml:space="preserve">potential edit shown </w:t>
      </w:r>
      <w:r w:rsidR="001408E1" w:rsidRPr="001408E1">
        <w:rPr>
          <w:color w:val="C00000"/>
        </w:rPr>
        <w:t>in red text</w:t>
      </w:r>
      <w:r w:rsidR="00F9032C">
        <w:rPr>
          <w:color w:val="C00000"/>
        </w:rPr>
        <w:t xml:space="preserve"> below</w:t>
      </w:r>
      <w:r w:rsidR="001408E1" w:rsidRPr="001408E1">
        <w:rPr>
          <w:color w:val="C00000"/>
        </w:rPr>
        <w:t>)</w:t>
      </w:r>
      <w:r w:rsidR="000C7209">
        <w:t>.</w:t>
      </w:r>
    </w:p>
    <w:p w14:paraId="65C82629" w14:textId="055DEA69" w:rsidR="00EE0880" w:rsidRPr="002D4470" w:rsidRDefault="00EE0880" w:rsidP="00EE0880">
      <w:pPr>
        <w:rPr>
          <w:b/>
          <w:bCs/>
          <w:lang w:val="en-US"/>
        </w:rPr>
      </w:pPr>
      <w:r w:rsidRPr="002D4470">
        <w:rPr>
          <w:b/>
          <w:bCs/>
          <w:lang w:val="en-US"/>
        </w:rPr>
        <w:t>Post-NPUSCH</w:t>
      </w:r>
    </w:p>
    <w:p w14:paraId="399E0F08" w14:textId="53246DB4" w:rsidR="00672CA0" w:rsidRDefault="00EE0880" w:rsidP="00672CA0">
      <w:pPr>
        <w:numPr>
          <w:ilvl w:val="0"/>
          <w:numId w:val="37"/>
        </w:numPr>
        <w:rPr>
          <w:lang w:val="en-US"/>
        </w:rPr>
      </w:pPr>
      <w:r w:rsidRPr="00535140">
        <w:rPr>
          <w:i/>
          <w:iCs/>
          <w:color w:val="AEAAAA" w:themeColor="background2" w:themeShade="BF"/>
        </w:rPr>
        <w:t xml:space="preserve">- </w:t>
      </w:r>
      <w:r>
        <w:rPr>
          <w:i/>
          <w:iCs/>
          <w:color w:val="AEAAAA" w:themeColor="background2" w:themeShade="BF"/>
        </w:rPr>
        <w:t>…</w:t>
      </w:r>
      <w:r w:rsidRPr="00535140">
        <w:rPr>
          <w:color w:val="AEAAAA" w:themeColor="background2" w:themeShade="BF"/>
        </w:rPr>
        <w:t xml:space="preserve"> </w:t>
      </w:r>
      <w:r w:rsidRPr="00535140">
        <w:t xml:space="preserve">if the NB-IoT UE has a </w:t>
      </w:r>
      <w:r w:rsidRPr="00EE0880">
        <w:t xml:space="preserve">NPUSCH transmission ending in subframe </w:t>
      </w:r>
      <w:r w:rsidRPr="00EE0880">
        <w:rPr>
          <w:i/>
          <w:iCs/>
        </w:rPr>
        <w:t>n</w:t>
      </w:r>
      <w:r w:rsidR="001408E1">
        <w:t xml:space="preserve"> </w:t>
      </w:r>
      <w:r w:rsidR="001408E1" w:rsidRPr="001408E1">
        <w:rPr>
          <w:color w:val="C00000"/>
        </w:rPr>
        <w:t>(accounting for uplink transmission timing)</w:t>
      </w:r>
      <w:r w:rsidR="001408E1">
        <w:t>,</w:t>
      </w:r>
      <w:r w:rsidRPr="00EE0880">
        <w:t xml:space="preserve"> the UE is not required to monitor NPDCCH in any subframe starting from subframe </w:t>
      </w:r>
      <w:r w:rsidRPr="00EE0880">
        <w:rPr>
          <w:i/>
          <w:iCs/>
        </w:rPr>
        <w:t xml:space="preserve">n+1 </w:t>
      </w:r>
      <w:r w:rsidRPr="00EE0880">
        <w:t xml:space="preserve">to subframe </w:t>
      </w:r>
      <w:r w:rsidRPr="00EE0880">
        <w:rPr>
          <w:i/>
          <w:iCs/>
        </w:rPr>
        <w:t>n+3</w:t>
      </w:r>
      <w:r w:rsidRPr="00EE0880">
        <w:t>.</w:t>
      </w:r>
    </w:p>
    <w:p w14:paraId="3791755F" w14:textId="664C5E9E" w:rsidR="00672CA0" w:rsidRPr="002D4470" w:rsidRDefault="00DF2BDF" w:rsidP="00672CA0">
      <w:pPr>
        <w:rPr>
          <w:b/>
          <w:bCs/>
          <w:lang w:val="en-US"/>
        </w:rPr>
      </w:pPr>
      <w:r w:rsidRPr="002D4470">
        <w:rPr>
          <w:b/>
          <w:bCs/>
          <w:i/>
          <w:iCs/>
          <w:u w:val="single"/>
          <w:lang w:val="en-US"/>
        </w:rPr>
        <w:t>Proposal</w:t>
      </w:r>
      <w:r w:rsidR="00C9376A">
        <w:rPr>
          <w:b/>
          <w:bCs/>
          <w:i/>
          <w:iCs/>
          <w:u w:val="single"/>
          <w:lang w:val="en-US"/>
        </w:rPr>
        <w:t xml:space="preserve"> 1</w:t>
      </w:r>
      <w:r w:rsidRPr="002D4470">
        <w:rPr>
          <w:b/>
          <w:bCs/>
          <w:lang w:val="en-US"/>
        </w:rPr>
        <w:t>: Modify the specification for DL monitoring restrictions after NPUSCH transmission</w:t>
      </w:r>
      <w:r w:rsidR="002D4470" w:rsidRPr="002D4470">
        <w:rPr>
          <w:b/>
          <w:bCs/>
          <w:lang w:val="en-US"/>
        </w:rPr>
        <w:t xml:space="preserve"> to account for uplink transmission timing.</w:t>
      </w:r>
    </w:p>
    <w:p w14:paraId="6A367F50" w14:textId="29BBBE7A" w:rsidR="00F2753D" w:rsidRDefault="00F2753D" w:rsidP="00F2753D">
      <w:pPr>
        <w:pStyle w:val="Heading1"/>
        <w:numPr>
          <w:ilvl w:val="0"/>
          <w:numId w:val="1"/>
        </w:numPr>
        <w:tabs>
          <w:tab w:val="clear" w:pos="1140"/>
        </w:tabs>
        <w:jc w:val="both"/>
      </w:pPr>
      <w:r>
        <w:lastRenderedPageBreak/>
        <w:t>Physical vs logical time</w:t>
      </w:r>
    </w:p>
    <w:p w14:paraId="772CC916" w14:textId="57776D68" w:rsidR="00FF753F" w:rsidRDefault="0076377E" w:rsidP="008C79B8">
      <w:r>
        <w:t>In the current specifications</w:t>
      </w:r>
      <w:r w:rsidR="00F6759D">
        <w:t>—especially when considering the impact of large TAs in NTNs—there is considerable scope for confusi</w:t>
      </w:r>
      <w:r w:rsidR="00010568">
        <w:t>on between when physical time is used, vs when logical time is used. For example, in the monitoring restrictions (described above in Section 2)</w:t>
      </w:r>
      <w:r w:rsidR="00F87A7D">
        <w:t xml:space="preserve">, the uplink transmission time </w:t>
      </w:r>
      <w:r w:rsidR="00DA0150">
        <w:t>is</w:t>
      </w:r>
      <w:r w:rsidR="00F87A7D">
        <w:t xml:space="preserve"> “physical time”, such that </w:t>
      </w:r>
      <w:r w:rsidR="00DA0150">
        <w:t>the monitoring restrictions apply in the physical neighbourhood of it. However, in most of the other cases</w:t>
      </w:r>
      <w:r w:rsidR="001B2556">
        <w:t xml:space="preserve"> (such as timelines involving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1B2556">
        <w:t xml:space="preserve"> for uplink transmission)</w:t>
      </w:r>
      <w:r w:rsidR="00776B26">
        <w:t>, the transmission time refers to an “index”, i.e., it is logical time.</w:t>
      </w:r>
    </w:p>
    <w:p w14:paraId="1BAD1DFA" w14:textId="233AC1A4" w:rsidR="003F1A28" w:rsidRDefault="003F1A28" w:rsidP="008C79B8">
      <w:r>
        <w:t xml:space="preserve">Below are two </w:t>
      </w:r>
      <w:r w:rsidR="00D534BF">
        <w:t>example to highlight the incongruency: both in the context of a “PDCCH order ending in subframe n”</w:t>
      </w:r>
      <w:r w:rsidR="005A75F2">
        <w:t>.</w:t>
      </w:r>
    </w:p>
    <w:p w14:paraId="08B02483" w14:textId="10760740" w:rsidR="002C4BEF" w:rsidRDefault="00FF753F" w:rsidP="008C79B8">
      <w:r w:rsidRPr="005A75F2">
        <w:rPr>
          <w:b/>
          <w:bCs/>
          <w:u w:val="single"/>
        </w:rPr>
        <w:t>Example</w:t>
      </w:r>
      <w:r w:rsidR="002C4BEF" w:rsidRPr="005A75F2">
        <w:rPr>
          <w:b/>
          <w:bCs/>
          <w:u w:val="single"/>
        </w:rPr>
        <w:t xml:space="preserve"> 1.1</w:t>
      </w:r>
      <w:r w:rsidR="002C4BEF">
        <w:t xml:space="preserve"> (</w:t>
      </w:r>
      <w:r w:rsidR="002C4BEF" w:rsidRPr="009E4DFE">
        <w:rPr>
          <w:highlight w:val="yellow"/>
        </w:rPr>
        <w:t>Logical time</w:t>
      </w:r>
      <w:r w:rsidR="00017D34" w:rsidRPr="009E4DFE">
        <w:rPr>
          <w:highlight w:val="yellow"/>
        </w:rPr>
        <w:t xml:space="preserve">, </w:t>
      </w:r>
      <w:r w:rsidR="009E4DFE" w:rsidRPr="009E4DFE">
        <w:rPr>
          <w:highlight w:val="yellow"/>
        </w:rPr>
        <w:t xml:space="preserve">referring to an </w:t>
      </w:r>
      <w:r w:rsidR="00195AB6">
        <w:rPr>
          <w:highlight w:val="yellow"/>
        </w:rPr>
        <w:t>UL</w:t>
      </w:r>
      <w:r w:rsidR="009E4DFE" w:rsidRPr="009E4DFE">
        <w:rPr>
          <w:highlight w:val="yellow"/>
        </w:rPr>
        <w:t xml:space="preserve"> index</w:t>
      </w:r>
      <w:r w:rsidR="002C4BEF">
        <w:t>)</w:t>
      </w:r>
    </w:p>
    <w:p w14:paraId="08CF2EE7" w14:textId="392D203E" w:rsidR="002C4BEF" w:rsidRDefault="002C4BEF" w:rsidP="008C79B8">
      <w:r>
        <w:t>“…</w:t>
      </w:r>
      <w:bookmarkStart w:id="4" w:name="_Hlk89044668"/>
      <w:r w:rsidR="001701CE">
        <w:t xml:space="preserve"> </w:t>
      </w:r>
      <w:r w:rsidR="001701CE" w:rsidRPr="001701CE">
        <w:rPr>
          <w:rFonts w:hint="eastAsia"/>
          <w:i/>
          <w:iCs/>
        </w:rPr>
        <w:t>I</w:t>
      </w:r>
      <w:r w:rsidR="001701CE" w:rsidRPr="001701CE">
        <w:rPr>
          <w:rFonts w:eastAsia="MS Mincho" w:hint="eastAsia"/>
          <w:i/>
          <w:iCs/>
        </w:rPr>
        <w:t>n case</w:t>
      </w:r>
      <w:r w:rsidR="001701CE" w:rsidRPr="001701CE">
        <w:rPr>
          <w:rFonts w:eastAsia="MS Mincho"/>
          <w:i/>
          <w:iCs/>
        </w:rPr>
        <w:t xml:space="preserve"> a</w:t>
      </w:r>
      <w:r w:rsidR="001701CE" w:rsidRPr="001701CE">
        <w:rPr>
          <w:rFonts w:eastAsia="MS Mincho" w:hint="eastAsia"/>
          <w:i/>
          <w:iCs/>
        </w:rPr>
        <w:t xml:space="preserve"> </w:t>
      </w:r>
      <w:r w:rsidR="001701CE" w:rsidRPr="001701CE">
        <w:rPr>
          <w:i/>
          <w:iCs/>
        </w:rPr>
        <w:t>random access procedure</w:t>
      </w:r>
      <w:r w:rsidR="001701CE" w:rsidRPr="001701CE">
        <w:rPr>
          <w:rFonts w:eastAsia="MS Mincho" w:hint="eastAsia"/>
          <w:i/>
          <w:iCs/>
        </w:rPr>
        <w:t xml:space="preserve"> is </w:t>
      </w:r>
      <w:r w:rsidR="001701CE" w:rsidRPr="001701CE">
        <w:rPr>
          <w:rFonts w:eastAsia="MS Mincho"/>
          <w:i/>
          <w:iCs/>
          <w:sz w:val="19"/>
          <w:szCs w:val="19"/>
        </w:rPr>
        <w:t>initiated by a</w:t>
      </w:r>
      <w:r w:rsidR="001701CE" w:rsidRPr="001701CE">
        <w:rPr>
          <w:rFonts w:eastAsia="MS Mincho" w:hint="eastAsia"/>
          <w:i/>
          <w:iCs/>
          <w:sz w:val="19"/>
          <w:szCs w:val="19"/>
        </w:rPr>
        <w:t xml:space="preserve"> </w:t>
      </w:r>
      <w:r w:rsidR="001701CE" w:rsidRPr="003F1A28">
        <w:rPr>
          <w:rFonts w:eastAsia="MS Mincho"/>
          <w:b/>
          <w:bCs/>
          <w:i/>
          <w:iCs/>
          <w:color w:val="C00000"/>
          <w:sz w:val="19"/>
          <w:szCs w:val="19"/>
        </w:rPr>
        <w:t>"</w:t>
      </w:r>
      <w:r w:rsidR="001701CE" w:rsidRPr="003F1A28">
        <w:rPr>
          <w:rFonts w:hint="eastAsia"/>
          <w:b/>
          <w:bCs/>
          <w:i/>
          <w:iCs/>
          <w:color w:val="C00000"/>
        </w:rPr>
        <w:t xml:space="preserve">PDCCH </w:t>
      </w:r>
      <w:r w:rsidR="001701CE" w:rsidRPr="003F1A28">
        <w:rPr>
          <w:b/>
          <w:bCs/>
          <w:i/>
          <w:iCs/>
          <w:color w:val="C00000"/>
        </w:rPr>
        <w:t>order"</w:t>
      </w:r>
      <w:r w:rsidR="001701CE" w:rsidRPr="003F1A28">
        <w:rPr>
          <w:rFonts w:eastAsia="SimSun" w:hint="eastAsia"/>
          <w:b/>
          <w:bCs/>
          <w:i/>
          <w:iCs/>
          <w:color w:val="C00000"/>
          <w:lang w:eastAsia="zh-CN"/>
        </w:rPr>
        <w:t xml:space="preserve"> ending</w:t>
      </w:r>
      <w:r w:rsidR="001701CE" w:rsidRPr="003F1A28">
        <w:rPr>
          <w:rFonts w:hint="eastAsia"/>
          <w:b/>
          <w:bCs/>
          <w:i/>
          <w:iCs/>
          <w:color w:val="C00000"/>
        </w:rPr>
        <w:t xml:space="preserve"> in subframe n</w:t>
      </w:r>
      <w:r w:rsidR="001701CE" w:rsidRPr="001701CE">
        <w:rPr>
          <w:rFonts w:hint="eastAsia"/>
          <w:i/>
          <w:iCs/>
        </w:rPr>
        <w:t xml:space="preserve">, </w:t>
      </w:r>
      <w:r w:rsidR="001701CE" w:rsidRPr="001701CE">
        <w:rPr>
          <w:i/>
          <w:iCs/>
        </w:rPr>
        <w:t xml:space="preserve">the </w:t>
      </w:r>
      <w:r w:rsidR="001701CE" w:rsidRPr="001701CE">
        <w:rPr>
          <w:rFonts w:eastAsia="MS Mincho" w:hint="eastAsia"/>
          <w:i/>
          <w:iCs/>
        </w:rPr>
        <w:t>UE shall</w:t>
      </w:r>
      <w:r w:rsidR="001701CE" w:rsidRPr="001701CE">
        <w:rPr>
          <w:rFonts w:hint="eastAsia"/>
          <w:i/>
          <w:iCs/>
        </w:rPr>
        <w:t>,</w:t>
      </w:r>
      <w:r w:rsidR="001701CE" w:rsidRPr="001701CE">
        <w:rPr>
          <w:rFonts w:eastAsia="MS Mincho" w:hint="eastAsia"/>
          <w:i/>
          <w:iCs/>
        </w:rPr>
        <w:t xml:space="preserve"> </w:t>
      </w:r>
      <w:r w:rsidR="001701CE" w:rsidRPr="001701CE">
        <w:rPr>
          <w:rFonts w:hint="eastAsia"/>
          <w:i/>
          <w:iCs/>
        </w:rPr>
        <w:t>if requested by higher layers,</w:t>
      </w:r>
      <w:r w:rsidR="001701CE" w:rsidRPr="001701CE">
        <w:rPr>
          <w:rFonts w:eastAsia="MS Mincho" w:hint="eastAsia"/>
          <w:i/>
          <w:iCs/>
        </w:rPr>
        <w:t xml:space="preserve"> </w:t>
      </w:r>
      <w:r w:rsidR="001701CE" w:rsidRPr="009E4DFE">
        <w:rPr>
          <w:rFonts w:eastAsia="MS Mincho"/>
          <w:i/>
          <w:iCs/>
          <w:highlight w:val="yellow"/>
        </w:rPr>
        <w:t xml:space="preserve">start </w:t>
      </w:r>
      <w:r w:rsidR="001701CE" w:rsidRPr="009E4DFE">
        <w:rPr>
          <w:rFonts w:hint="eastAsia"/>
          <w:i/>
          <w:iCs/>
          <w:highlight w:val="yellow"/>
        </w:rPr>
        <w:t>transmi</w:t>
      </w:r>
      <w:r w:rsidR="001701CE" w:rsidRPr="009E4DFE">
        <w:rPr>
          <w:i/>
          <w:iCs/>
          <w:highlight w:val="yellow"/>
        </w:rPr>
        <w:t>ssion</w:t>
      </w:r>
      <w:r w:rsidR="001701CE" w:rsidRPr="009E4DFE">
        <w:rPr>
          <w:rFonts w:hint="eastAsia"/>
          <w:i/>
          <w:iCs/>
          <w:highlight w:val="yellow"/>
        </w:rPr>
        <w:t xml:space="preserve"> </w:t>
      </w:r>
      <w:r w:rsidR="001701CE" w:rsidRPr="009E4DFE">
        <w:rPr>
          <w:i/>
          <w:iCs/>
          <w:highlight w:val="yellow"/>
        </w:rPr>
        <w:t xml:space="preserve">of </w:t>
      </w:r>
      <w:r w:rsidR="001701CE" w:rsidRPr="009E4DFE">
        <w:rPr>
          <w:rFonts w:hint="eastAsia"/>
          <w:i/>
          <w:iCs/>
          <w:highlight w:val="yellow"/>
        </w:rPr>
        <w:t xml:space="preserve">random access preamble </w:t>
      </w:r>
      <w:r w:rsidR="001701CE" w:rsidRPr="009E4DFE">
        <w:rPr>
          <w:i/>
          <w:iCs/>
          <w:highlight w:val="yellow"/>
        </w:rPr>
        <w:t>at the end of</w:t>
      </w:r>
      <w:r w:rsidR="001701CE" w:rsidRPr="009E4DFE">
        <w:rPr>
          <w:rFonts w:hint="eastAsia"/>
          <w:i/>
          <w:iCs/>
          <w:highlight w:val="yellow"/>
        </w:rPr>
        <w:t xml:space="preserve"> the first subframe </w:t>
      </w:r>
      <m:oMath>
        <m:sSub>
          <m:sSubPr>
            <m:ctrlPr>
              <w:rPr>
                <w:rFonts w:ascii="Cambria Math" w:eastAsia="MS Mincho" w:hAnsi="Cambria Math"/>
                <w:i/>
                <w:iCs/>
                <w:kern w:val="2"/>
                <w:highlight w:val="yellow"/>
              </w:rPr>
            </m:ctrlPr>
          </m:sSubPr>
          <m:e>
            <m:r>
              <w:rPr>
                <w:rFonts w:ascii="Cambria Math" w:eastAsia="MS Mincho" w:hAnsi="Cambria Math"/>
                <w:kern w:val="2"/>
                <w:highlight w:val="yellow"/>
              </w:rPr>
              <m:t>n+</m:t>
            </m:r>
            <m:sSub>
              <m:sSubPr>
                <m:ctrlPr>
                  <w:rPr>
                    <w:rFonts w:ascii="Cambria Math" w:eastAsia="MS Mincho" w:hAnsi="Cambria Math"/>
                    <w:i/>
                    <w:iCs/>
                    <w:kern w:val="2"/>
                    <w:highlight w:val="yellow"/>
                  </w:rPr>
                </m:ctrlPr>
              </m:sSubPr>
              <m:e>
                <m:r>
                  <w:rPr>
                    <w:rFonts w:ascii="Cambria Math" w:eastAsia="MS Mincho" w:hAnsi="Cambria Math"/>
                    <w:kern w:val="2"/>
                    <w:highlight w:val="yellow"/>
                  </w:rPr>
                  <m:t>k</m:t>
                </m:r>
              </m:e>
              <m:sub>
                <m:r>
                  <w:rPr>
                    <w:rFonts w:ascii="Cambria Math" w:eastAsia="MS Mincho" w:hAnsi="Cambria Math"/>
                    <w:kern w:val="2"/>
                    <w:highlight w:val="yellow"/>
                  </w:rPr>
                  <m:t>2</m:t>
                </m:r>
              </m:sub>
            </m:sSub>
            <m:r>
              <w:rPr>
                <w:rFonts w:ascii="Cambria Math" w:eastAsia="MS Mincho" w:hAnsi="Cambria Math"/>
                <w:kern w:val="2"/>
                <w:highlight w:val="yellow"/>
              </w:rPr>
              <m:t>+K</m:t>
            </m:r>
          </m:e>
          <m:sub>
            <m:r>
              <w:rPr>
                <w:rFonts w:ascii="Cambria Math" w:eastAsia="MS Mincho" w:hAnsi="Cambria Math"/>
                <w:kern w:val="2"/>
                <w:highlight w:val="yellow"/>
              </w:rPr>
              <m:t>offset</m:t>
            </m:r>
          </m:sub>
        </m:sSub>
      </m:oMath>
      <w:r w:rsidR="001701CE" w:rsidRPr="001701CE">
        <w:rPr>
          <w:i/>
          <w:iCs/>
        </w:rPr>
        <w:t xml:space="preserve">, </w:t>
      </w:r>
      <w:r w:rsidR="001701CE" w:rsidRPr="001701CE">
        <w:rPr>
          <w:i/>
          <w:iCs/>
          <w:position w:val="-10"/>
        </w:rPr>
        <w:object w:dxaOrig="639" w:dyaOrig="340" w14:anchorId="33E24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14.4pt" o:ole="">
            <v:imagedata r:id="rId11" o:title=""/>
          </v:shape>
          <o:OLEObject Type="Embed" ProgID="Equation.3" ShapeID="_x0000_i1025" DrawAspect="Content" ObjectID="_1706343434" r:id="rId12"/>
        </w:object>
      </w:r>
      <w:r w:rsidR="001701CE" w:rsidRPr="001701CE">
        <w:rPr>
          <w:i/>
          <w:iCs/>
        </w:rPr>
        <w:t xml:space="preserve">, where a </w:t>
      </w:r>
      <w:r w:rsidR="001701CE" w:rsidRPr="001701CE">
        <w:rPr>
          <w:rFonts w:eastAsia="SimSun" w:hint="eastAsia"/>
          <w:i/>
          <w:iCs/>
          <w:lang w:eastAsia="zh-CN"/>
        </w:rPr>
        <w:t>N</w:t>
      </w:r>
      <w:r w:rsidR="001701CE" w:rsidRPr="001701CE">
        <w:rPr>
          <w:i/>
          <w:iCs/>
        </w:rPr>
        <w:t xml:space="preserve">PRACH </w:t>
      </w:r>
      <w:r w:rsidR="001701CE" w:rsidRPr="001701CE">
        <w:rPr>
          <w:rFonts w:hint="eastAsia"/>
          <w:i/>
          <w:iCs/>
        </w:rPr>
        <w:t xml:space="preserve">resource </w:t>
      </w:r>
      <w:r w:rsidR="001701CE" w:rsidRPr="001701CE">
        <w:rPr>
          <w:i/>
          <w:iCs/>
        </w:rPr>
        <w:t>is available</w:t>
      </w:r>
      <w:r w:rsidR="001701CE" w:rsidRPr="001701CE">
        <w:rPr>
          <w:rFonts w:hint="eastAsia"/>
          <w:i/>
          <w:iCs/>
        </w:rPr>
        <w:t>.</w:t>
      </w:r>
      <w:bookmarkEnd w:id="4"/>
      <w:r w:rsidR="001701CE" w:rsidRPr="001A7C01">
        <w:t xml:space="preserve"> </w:t>
      </w:r>
      <w:r>
        <w:t xml:space="preserve"> …”</w:t>
      </w:r>
    </w:p>
    <w:p w14:paraId="054C0A5D" w14:textId="2A3FAE75" w:rsidR="00776B26" w:rsidRDefault="002C4BEF" w:rsidP="008C79B8">
      <w:r w:rsidRPr="005A75F2">
        <w:rPr>
          <w:b/>
          <w:bCs/>
          <w:u w:val="single"/>
        </w:rPr>
        <w:t>Example 1.2</w:t>
      </w:r>
      <w:r>
        <w:t xml:space="preserve"> (</w:t>
      </w:r>
      <w:r w:rsidRPr="00017D34">
        <w:rPr>
          <w:highlight w:val="cyan"/>
        </w:rPr>
        <w:t>Physical time</w:t>
      </w:r>
      <w:r w:rsidR="00017D34" w:rsidRPr="00017D34">
        <w:rPr>
          <w:highlight w:val="cyan"/>
        </w:rPr>
        <w:t>, inherently referring to a DL index for an UL transmission</w:t>
      </w:r>
      <w:r>
        <w:t>)</w:t>
      </w:r>
      <w:r w:rsidR="00776B26">
        <w:t xml:space="preserve"> </w:t>
      </w:r>
    </w:p>
    <w:p w14:paraId="619EC06A" w14:textId="77777777" w:rsidR="00143B6B" w:rsidRPr="00092F20" w:rsidRDefault="002C4BEF" w:rsidP="00143B6B">
      <w:pPr>
        <w:rPr>
          <w:i/>
          <w:iCs/>
        </w:rPr>
      </w:pPr>
      <w:r>
        <w:t>“…</w:t>
      </w:r>
      <w:r w:rsidR="00143B6B">
        <w:t xml:space="preserve"> </w:t>
      </w:r>
      <w:r w:rsidR="00143B6B" w:rsidRPr="00092F20">
        <w:rPr>
          <w:i/>
          <w:iCs/>
        </w:rPr>
        <w:t>If a NB-IoT UE detects NPDCCH with DCI Format N</w:t>
      </w:r>
      <w:r w:rsidR="00143B6B" w:rsidRPr="00092F20">
        <w:rPr>
          <w:rFonts w:hint="eastAsia"/>
          <w:i/>
          <w:iCs/>
        </w:rPr>
        <w:t>1</w:t>
      </w:r>
      <w:r w:rsidR="00143B6B" w:rsidRPr="00092F20">
        <w:rPr>
          <w:i/>
          <w:iCs/>
        </w:rPr>
        <w:t xml:space="preserve"> </w:t>
      </w:r>
      <w:r w:rsidR="00143B6B" w:rsidRPr="00092F20">
        <w:rPr>
          <w:rFonts w:hint="eastAsia"/>
          <w:i/>
          <w:iCs/>
          <w:lang w:eastAsia="zh-CN"/>
        </w:rPr>
        <w:t xml:space="preserve">for </w:t>
      </w:r>
      <w:r w:rsidR="00143B6B" w:rsidRPr="003F1A28">
        <w:rPr>
          <w:b/>
          <w:bCs/>
          <w:i/>
          <w:iCs/>
          <w:color w:val="C00000"/>
          <w:lang w:eastAsia="zh-CN"/>
        </w:rPr>
        <w:t>"</w:t>
      </w:r>
      <w:r w:rsidR="00143B6B" w:rsidRPr="003F1A28">
        <w:rPr>
          <w:rFonts w:hint="eastAsia"/>
          <w:b/>
          <w:bCs/>
          <w:i/>
          <w:iCs/>
          <w:color w:val="C00000"/>
          <w:lang w:eastAsia="zh-CN"/>
        </w:rPr>
        <w:t>PDCCH order</w:t>
      </w:r>
      <w:r w:rsidR="00143B6B" w:rsidRPr="003F1A28">
        <w:rPr>
          <w:b/>
          <w:bCs/>
          <w:i/>
          <w:iCs/>
          <w:color w:val="C00000"/>
          <w:lang w:eastAsia="zh-CN"/>
        </w:rPr>
        <w:t>"</w:t>
      </w:r>
      <w:r w:rsidR="00143B6B" w:rsidRPr="003F1A28">
        <w:rPr>
          <w:rFonts w:hint="eastAsia"/>
          <w:b/>
          <w:bCs/>
          <w:i/>
          <w:iCs/>
          <w:color w:val="C00000"/>
          <w:lang w:eastAsia="zh-CN"/>
        </w:rPr>
        <w:t xml:space="preserve"> </w:t>
      </w:r>
      <w:r w:rsidR="00143B6B" w:rsidRPr="003F1A28">
        <w:rPr>
          <w:b/>
          <w:bCs/>
          <w:i/>
          <w:iCs/>
          <w:color w:val="C00000"/>
        </w:rPr>
        <w:t>ending in subframe n</w:t>
      </w:r>
      <w:r w:rsidR="00143B6B" w:rsidRPr="00092F20">
        <w:rPr>
          <w:i/>
          <w:iCs/>
        </w:rPr>
        <w:t xml:space="preserve">, and </w:t>
      </w:r>
    </w:p>
    <w:p w14:paraId="53D25D95" w14:textId="0F036713" w:rsidR="002C4BEF" w:rsidRDefault="00143B6B" w:rsidP="00143B6B">
      <w:pPr>
        <w:pStyle w:val="B1"/>
        <w:rPr>
          <w:lang w:eastAsia="zh-CN"/>
        </w:rPr>
      </w:pPr>
      <w:r w:rsidRPr="00092F20">
        <w:rPr>
          <w:i/>
          <w:iCs/>
        </w:rPr>
        <w:t>-</w:t>
      </w:r>
      <w:r w:rsidRPr="00092F20">
        <w:rPr>
          <w:i/>
          <w:iCs/>
        </w:rPr>
        <w:tab/>
        <w:t>for FDD, if the corresponding NP</w:t>
      </w:r>
      <w:r w:rsidRPr="00092F20">
        <w:rPr>
          <w:rFonts w:hint="eastAsia"/>
          <w:i/>
          <w:iCs/>
          <w:lang w:eastAsia="zh-CN"/>
        </w:rPr>
        <w:t>RACH</w:t>
      </w:r>
      <w:r w:rsidRPr="00092F20">
        <w:rPr>
          <w:rFonts w:hint="eastAsia"/>
          <w:i/>
          <w:iCs/>
        </w:rPr>
        <w:t xml:space="preserve"> </w:t>
      </w:r>
      <w:r w:rsidRPr="00092F20">
        <w:rPr>
          <w:i/>
          <w:iCs/>
        </w:rPr>
        <w:t xml:space="preserve">transmission </w:t>
      </w:r>
      <w:r w:rsidRPr="00017D34">
        <w:rPr>
          <w:i/>
          <w:iCs/>
          <w:highlight w:val="cyan"/>
        </w:rPr>
        <w:t xml:space="preserve">starts from </w:t>
      </w:r>
      <w:r w:rsidRPr="00017D34">
        <w:rPr>
          <w:rFonts w:hint="eastAsia"/>
          <w:i/>
          <w:iCs/>
          <w:highlight w:val="cyan"/>
          <w:lang w:eastAsia="zh-CN"/>
        </w:rPr>
        <w:t xml:space="preserve">subframe </w:t>
      </w:r>
      <w:r w:rsidRPr="00017D34">
        <w:rPr>
          <w:i/>
          <w:iCs/>
          <w:highlight w:val="cyan"/>
        </w:rPr>
        <w:t>n+k (accounting for uplink transmission timing)</w:t>
      </w:r>
      <w:r w:rsidRPr="00092F20">
        <w:rPr>
          <w:i/>
          <w:iCs/>
        </w:rPr>
        <w:t>, the UE is not required to monitor NPDCCH in any subframe starting from subframe n+1 to subframe n+k-1.</w:t>
      </w:r>
      <w:r w:rsidR="002C4BEF">
        <w:t xml:space="preserve"> …”</w:t>
      </w:r>
    </w:p>
    <w:p w14:paraId="42725E59" w14:textId="77777777" w:rsidR="00C902B5" w:rsidRDefault="00CF0D23" w:rsidP="008C79B8">
      <w:r>
        <w:t xml:space="preserve">To keep everything in logical time (DL reception follows a DL index, while UL transmission follows a UL index, </w:t>
      </w:r>
      <w:r w:rsidR="000D4392">
        <w:t>with UL indices shifted back by a TA term</w:t>
      </w:r>
      <w:r>
        <w:t>)</w:t>
      </w:r>
      <w:r w:rsidR="000D4392">
        <w:t xml:space="preserve">, we had originally proposed the half-duplex monitoring restrictions to </w:t>
      </w:r>
      <w:r w:rsidR="00C902B5">
        <w:t>be written in terms of logical time. However, the latest CRs don’t reflect this.</w:t>
      </w:r>
    </w:p>
    <w:p w14:paraId="22870E76" w14:textId="712FAE41" w:rsidR="008C79B8" w:rsidRDefault="00C902B5" w:rsidP="008C79B8">
      <w:r>
        <w:t xml:space="preserve">To this end, we propose to clarify </w:t>
      </w:r>
      <w:r w:rsidR="00AB0C82">
        <w:t>the issue of physical and logical times occurring in different places, either by making things uniform—</w:t>
      </w:r>
      <w:r w:rsidR="00DF0F68">
        <w:t>specifically, by writing the half-duplex monitoring restrictions in logical time</w:t>
      </w:r>
      <w:r w:rsidR="0004745A">
        <w:t>—or, by including an explanatory table in the specification to highlight the cases in which physical time is used (current wording for DL monitoring restrictions in half-duplex)</w:t>
      </w:r>
      <w:r w:rsidR="00851F6A">
        <w:t xml:space="preserve"> and the other cases (such as UL-DL transmission timelines) where logical time is used.</w:t>
      </w:r>
      <w:r w:rsidR="00DF0F68">
        <w:t xml:space="preserve"> </w:t>
      </w:r>
      <w:r w:rsidR="00DA0150">
        <w:t xml:space="preserve"> </w:t>
      </w:r>
    </w:p>
    <w:p w14:paraId="4D3CE9DA" w14:textId="3CC300AA" w:rsidR="005B17D1" w:rsidRPr="00C9376A" w:rsidRDefault="005B17D1" w:rsidP="008C79B8">
      <w:pPr>
        <w:rPr>
          <w:b/>
          <w:bCs/>
        </w:rPr>
      </w:pPr>
      <w:r w:rsidRPr="00C9376A">
        <w:rPr>
          <w:b/>
          <w:bCs/>
          <w:i/>
          <w:iCs/>
          <w:u w:val="single"/>
        </w:rPr>
        <w:t>Proposal</w:t>
      </w:r>
      <w:r w:rsidR="00C9376A">
        <w:rPr>
          <w:b/>
          <w:bCs/>
          <w:i/>
          <w:iCs/>
          <w:u w:val="single"/>
        </w:rPr>
        <w:t xml:space="preserve"> 2</w:t>
      </w:r>
      <w:r w:rsidRPr="00C9376A">
        <w:rPr>
          <w:b/>
          <w:bCs/>
        </w:rPr>
        <w:t>: Clarify the use of logical/physical time</w:t>
      </w:r>
      <w:r w:rsidR="00AA03A9" w:rsidRPr="00C9376A">
        <w:rPr>
          <w:b/>
          <w:bCs/>
        </w:rPr>
        <w:t xml:space="preserve"> in different places of the specifications.</w:t>
      </w:r>
    </w:p>
    <w:p w14:paraId="54018FCC" w14:textId="4478D103" w:rsidR="00AA03A9" w:rsidRPr="00C9376A" w:rsidRDefault="00AA03A9" w:rsidP="00AA03A9">
      <w:pPr>
        <w:pStyle w:val="ListParagraph"/>
        <w:numPr>
          <w:ilvl w:val="0"/>
          <w:numId w:val="47"/>
        </w:numPr>
        <w:rPr>
          <w:b/>
          <w:bCs/>
        </w:rPr>
      </w:pPr>
      <w:r w:rsidRPr="00C9376A">
        <w:rPr>
          <w:b/>
          <w:bCs/>
        </w:rPr>
        <w:t>Option 1: For half-duplex monitoring restrictions (</w:t>
      </w:r>
      <w:r w:rsidR="002A1F12" w:rsidRPr="00C9376A">
        <w:rPr>
          <w:b/>
          <w:bCs/>
        </w:rPr>
        <w:t>such as Example 1.2 in this contribution</w:t>
      </w:r>
      <w:r w:rsidRPr="00C9376A">
        <w:rPr>
          <w:b/>
          <w:bCs/>
        </w:rPr>
        <w:t>)</w:t>
      </w:r>
      <w:r w:rsidR="002A1F12" w:rsidRPr="00C9376A">
        <w:rPr>
          <w:b/>
          <w:bCs/>
        </w:rPr>
        <w:t xml:space="preserve">, use logical time </w:t>
      </w:r>
      <w:r w:rsidR="00857FA7" w:rsidRPr="00C9376A">
        <w:rPr>
          <w:b/>
          <w:bCs/>
        </w:rPr>
        <w:t>to index uplink transmissions with UL indices, DL reception with DL indices, and us</w:t>
      </w:r>
      <w:r w:rsidR="00103468">
        <w:rPr>
          <w:b/>
          <w:bCs/>
        </w:rPr>
        <w:t>e</w:t>
      </w:r>
      <w:r w:rsidR="00857FA7" w:rsidRPr="00C9376A">
        <w:rPr>
          <w:b/>
          <w:bCs/>
        </w:rPr>
        <w:t xml:space="preserve"> a TA term to link the two.</w:t>
      </w:r>
    </w:p>
    <w:p w14:paraId="06362D66" w14:textId="4E705B3B" w:rsidR="00857FA7" w:rsidRPr="00C9376A" w:rsidRDefault="00857FA7" w:rsidP="00AA03A9">
      <w:pPr>
        <w:pStyle w:val="ListParagraph"/>
        <w:numPr>
          <w:ilvl w:val="0"/>
          <w:numId w:val="47"/>
        </w:numPr>
        <w:rPr>
          <w:b/>
          <w:bCs/>
        </w:rPr>
      </w:pPr>
      <w:r w:rsidRPr="00C9376A">
        <w:rPr>
          <w:b/>
          <w:bCs/>
        </w:rPr>
        <w:t xml:space="preserve">Option 2: Include a table in the specifications </w:t>
      </w:r>
      <w:r w:rsidR="0092605B" w:rsidRPr="00C9376A">
        <w:rPr>
          <w:b/>
          <w:bCs/>
        </w:rPr>
        <w:t>to state which relationships use logical time, and which use physical time.</w:t>
      </w:r>
    </w:p>
    <w:p w14:paraId="4768CCA3" w14:textId="11E86D17" w:rsidR="0092605B" w:rsidRPr="00C9376A" w:rsidRDefault="0092605B" w:rsidP="0092605B">
      <w:pPr>
        <w:pStyle w:val="ListParagraph"/>
        <w:numPr>
          <w:ilvl w:val="1"/>
          <w:numId w:val="47"/>
        </w:numPr>
        <w:rPr>
          <w:b/>
          <w:bCs/>
        </w:rPr>
      </w:pPr>
      <w:r w:rsidRPr="00C9376A">
        <w:rPr>
          <w:b/>
          <w:bCs/>
        </w:rPr>
        <w:t>Currently, only the half-duplex monitoring restrictions appear to use</w:t>
      </w:r>
      <w:r w:rsidR="00C9376A" w:rsidRPr="00C9376A">
        <w:rPr>
          <w:b/>
          <w:bCs/>
        </w:rPr>
        <w:t xml:space="preserve"> physical time, while other timing relationships use logical time.</w:t>
      </w:r>
    </w:p>
    <w:p w14:paraId="611EC385" w14:textId="72B796A0" w:rsidR="008C79B8" w:rsidRDefault="008C79B8" w:rsidP="008C79B8">
      <w:pPr>
        <w:pStyle w:val="Heading1"/>
        <w:numPr>
          <w:ilvl w:val="0"/>
          <w:numId w:val="1"/>
        </w:numPr>
        <w:tabs>
          <w:tab w:val="clear" w:pos="1140"/>
        </w:tabs>
        <w:jc w:val="both"/>
      </w:pPr>
      <w:r>
        <w:t xml:space="preserve">Errata on </w:t>
      </w:r>
      <w:r w:rsidR="00755233">
        <w:t>application of</w:t>
      </w:r>
      <w:r w:rsidR="00F87B1E">
        <w:t xml:space="preserve"> TA command</w:t>
      </w:r>
    </w:p>
    <w:p w14:paraId="30A6FA88" w14:textId="05273807" w:rsidR="008C79B8" w:rsidRDefault="0097013C" w:rsidP="008C79B8">
      <w:r>
        <w:t xml:space="preserve">In the latest draft of TS 36.213, </w:t>
      </w:r>
      <w:r w:rsidR="00A75D6C">
        <w:t>Section 16.1.2</w:t>
      </w:r>
      <w:r w:rsidR="00A77188">
        <w:t xml:space="preserve"> on </w:t>
      </w:r>
      <w:r w:rsidR="00661574">
        <w:t xml:space="preserve">applying the TA command contains </w:t>
      </w:r>
      <w:r>
        <w:t>the following text (</w:t>
      </w:r>
      <w:r w:rsidR="00A77188">
        <w:t>with latest changes tracked</w:t>
      </w:r>
      <w:r>
        <w:t>)</w:t>
      </w:r>
      <w:r w:rsidR="00A75D6C">
        <w:t>:</w:t>
      </w:r>
    </w:p>
    <w:p w14:paraId="4C9D2282" w14:textId="13562BC3" w:rsidR="00A75D6C" w:rsidRPr="008C79B8" w:rsidRDefault="00210305" w:rsidP="00210305">
      <w:pPr>
        <w:pStyle w:val="ListParagraph"/>
        <w:numPr>
          <w:ilvl w:val="0"/>
          <w:numId w:val="46"/>
        </w:numPr>
      </w:pPr>
      <w:r>
        <w:t>“</w:t>
      </w:r>
      <w:bookmarkStart w:id="5" w:name="_Hlk89044569"/>
      <w:r w:rsidRPr="00210305">
        <w:rPr>
          <w:i/>
          <w:iCs/>
        </w:rPr>
        <w:t>For a timing advance command reception ending in DL subframe n, the corresponding adjustment of the uplink transmission timing shall apply from the first available NB-IoT uplink slot following the end of n+12+</w:t>
      </w:r>
      <m:oMath>
        <m:sSub>
          <m:sSubPr>
            <m:ctrlPr>
              <w:rPr>
                <w:rFonts w:ascii="Cambria Math" w:eastAsia="MS Mincho" w:hAnsi="Cambria Math"/>
                <w:i/>
                <w:iCs/>
                <w:kern w:val="2"/>
              </w:rPr>
            </m:ctrlPr>
          </m:sSubPr>
          <m:e>
            <m:r>
              <w:rPr>
                <w:rFonts w:ascii="Cambria Math" w:eastAsia="MS Mincho" w:hAnsi="Cambria Math"/>
                <w:kern w:val="2"/>
              </w:rPr>
              <m:t>K</m:t>
            </m:r>
          </m:e>
          <m:sub>
            <m:r>
              <w:rPr>
                <w:rFonts w:ascii="Cambria Math" w:eastAsia="MS Mincho" w:hAnsi="Cambria Math"/>
                <w:kern w:val="2"/>
              </w:rPr>
              <m:t>offset</m:t>
            </m:r>
          </m:sub>
        </m:sSub>
      </m:oMath>
      <w:r w:rsidRPr="00210305">
        <w:rPr>
          <w:i/>
          <w:iCs/>
        </w:rPr>
        <w:t xml:space="preserve"> DL subframe and the first available NB-IoT uplink slot is the first slot of a NPUSCH transmission</w:t>
      </w:r>
      <w:bookmarkEnd w:id="5"/>
      <w:r w:rsidRPr="001A7C01">
        <w:rPr>
          <w:rStyle w:val="CommentReference"/>
          <w:rFonts w:eastAsia="MS Mincho"/>
          <w:i/>
        </w:rPr>
        <w:t>.</w:t>
      </w:r>
      <w:r>
        <w:t>”</w:t>
      </w:r>
    </w:p>
    <w:p w14:paraId="0DBCEE6A" w14:textId="65E0C0F9" w:rsidR="003C4A6F" w:rsidRDefault="00444A1F" w:rsidP="00E26E6A">
      <w:pPr>
        <w:pStyle w:val="NO"/>
        <w:ind w:left="0" w:firstLine="0"/>
      </w:pPr>
      <w:r>
        <w:t xml:space="preserve">We believe this change should be </w:t>
      </w:r>
      <w:r w:rsidR="00D277F2">
        <w:t>reverted</w:t>
      </w:r>
      <w:r>
        <w:t xml:space="preserve"> to the legacy text</w:t>
      </w:r>
      <w:r w:rsidR="00B7110D">
        <w:t>,</w:t>
      </w:r>
      <w:r>
        <w:t xml:space="preserve"> before</w:t>
      </w:r>
      <w:r w:rsidR="00BF7D4E">
        <w:t xml:space="preserve"> the</w:t>
      </w:r>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change was made.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8E16CC">
        <w:t xml:space="preserve"> </w:t>
      </w:r>
      <w:r w:rsidR="00BF7D4E">
        <w:t>is</w:t>
      </w:r>
      <w:r w:rsidR="008E16CC">
        <w:t xml:space="preserve"> used to maintain causality in timing relationships where a downlink (e.g., a NPDCCH) triggers an uplink</w:t>
      </w:r>
      <w:r w:rsidR="003C2936">
        <w:t xml:space="preserve"> (e.g., NPUSCH, HARQ-ACK, PDCCH order, etc.). The purpose of the </w:t>
      </w:r>
      <m:oMath>
        <m:r>
          <w:rPr>
            <w:rFonts w:ascii="Cambria Math" w:hAnsi="Cambria Math"/>
          </w:rPr>
          <m:t>n+12</m:t>
        </m:r>
      </m:oMath>
      <w:r w:rsidR="000715F6">
        <w:t xml:space="preserve"> in the above setting of the TA command is to give the UE 12 milliseconds of “physical time”</w:t>
      </w:r>
      <w:r w:rsidR="000123B2">
        <w:t>. As such, the first available uplink slot after 12 milliseconds have passed</w:t>
      </w:r>
      <w:r w:rsidR="001B300A">
        <w:t>, continues to remain the correct interpretation</w:t>
      </w:r>
      <w:r w:rsidR="003C4A6F">
        <w:t>, and is reflected accurately by the legacy text.</w:t>
      </w:r>
    </w:p>
    <w:p w14:paraId="1AA9951E" w14:textId="52691E2E" w:rsidR="00097051" w:rsidRPr="005846B4" w:rsidRDefault="003C4A6F" w:rsidP="00E26E6A">
      <w:pPr>
        <w:pStyle w:val="NO"/>
        <w:ind w:left="0" w:firstLine="0"/>
        <w:rPr>
          <w:b/>
          <w:bCs/>
        </w:rPr>
      </w:pPr>
      <w:r w:rsidRPr="005846B4">
        <w:rPr>
          <w:b/>
          <w:bCs/>
          <w:i/>
          <w:iCs/>
          <w:u w:val="single"/>
        </w:rPr>
        <w:t>Proposal</w:t>
      </w:r>
      <w:r w:rsidR="00C9376A">
        <w:rPr>
          <w:b/>
          <w:bCs/>
          <w:i/>
          <w:iCs/>
          <w:u w:val="single"/>
        </w:rPr>
        <w:t xml:space="preserve"> 3</w:t>
      </w:r>
      <w:r w:rsidRPr="005846B4">
        <w:rPr>
          <w:b/>
          <w:bCs/>
        </w:rPr>
        <w:t>: Revert the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offset</m:t>
            </m:r>
          </m:sub>
        </m:sSub>
      </m:oMath>
      <w:r w:rsidRPr="005846B4">
        <w:rPr>
          <w:b/>
          <w:bCs/>
        </w:rPr>
        <w:t>”</w:t>
      </w:r>
      <w:r w:rsidR="005846B4" w:rsidRPr="005846B4">
        <w:rPr>
          <w:b/>
          <w:bCs/>
        </w:rPr>
        <w:t xml:space="preserve"> term in paragraph on TA command reception in Section 16.1.2 in TS 36.213.</w:t>
      </w:r>
      <w:r w:rsidR="000715F6" w:rsidRPr="005846B4">
        <w:rPr>
          <w:b/>
          <w:bCs/>
        </w:rPr>
        <w:t xml:space="preserve"> </w:t>
      </w:r>
    </w:p>
    <w:p w14:paraId="72FCCC8A" w14:textId="1D08AA9D" w:rsidR="00874392" w:rsidRDefault="00874392" w:rsidP="00874392">
      <w:pPr>
        <w:pStyle w:val="Heading1"/>
        <w:numPr>
          <w:ilvl w:val="0"/>
          <w:numId w:val="1"/>
        </w:numPr>
        <w:tabs>
          <w:tab w:val="clear" w:pos="1140"/>
          <w:tab w:val="num" w:pos="720"/>
        </w:tabs>
        <w:ind w:left="720" w:hanging="720"/>
        <w:jc w:val="both"/>
      </w:pPr>
      <w:r>
        <w:lastRenderedPageBreak/>
        <w:t>Conclusion</w:t>
      </w:r>
    </w:p>
    <w:p w14:paraId="62880045" w14:textId="30F9DE2D" w:rsidR="003E3336" w:rsidRDefault="000236C6" w:rsidP="0037788D">
      <w:r w:rsidRPr="000236C6">
        <w:t xml:space="preserve">In this contribution we presented our views on </w:t>
      </w:r>
      <w:r w:rsidR="00FD4AD2">
        <w:t>enhancements for</w:t>
      </w:r>
      <w:r w:rsidR="001B1620">
        <w:t xml:space="preserve"> NB-IoT/eMTC over NTN</w:t>
      </w:r>
      <w:r w:rsidR="000E792E" w:rsidRPr="000E792E">
        <w:t xml:space="preserve"> </w:t>
      </w:r>
      <w:r w:rsidR="000E792E">
        <w:t>as it relates to timing relationship enhancements</w:t>
      </w:r>
      <w:r w:rsidRPr="000236C6">
        <w:t xml:space="preserve">. </w:t>
      </w:r>
      <w:r w:rsidR="00BC3A60">
        <w:t>We summarize our proposals below.</w:t>
      </w:r>
    </w:p>
    <w:p w14:paraId="68397038" w14:textId="77777777" w:rsidR="00C9376A" w:rsidRPr="002D4470" w:rsidRDefault="00C9376A" w:rsidP="00C9376A">
      <w:pPr>
        <w:rPr>
          <w:b/>
          <w:bCs/>
          <w:lang w:val="en-US"/>
        </w:rPr>
      </w:pPr>
      <w:r w:rsidRPr="002D4470">
        <w:rPr>
          <w:b/>
          <w:bCs/>
          <w:i/>
          <w:iCs/>
          <w:u w:val="single"/>
          <w:lang w:val="en-US"/>
        </w:rPr>
        <w:t>Proposal</w:t>
      </w:r>
      <w:r>
        <w:rPr>
          <w:b/>
          <w:bCs/>
          <w:i/>
          <w:iCs/>
          <w:u w:val="single"/>
          <w:lang w:val="en-US"/>
        </w:rPr>
        <w:t xml:space="preserve"> 1</w:t>
      </w:r>
      <w:r w:rsidRPr="002D4470">
        <w:rPr>
          <w:b/>
          <w:bCs/>
          <w:lang w:val="en-US"/>
        </w:rPr>
        <w:t>: Modify the specification for DL monitoring restrictions after NPUSCH transmission to account for uplink transmission timing.</w:t>
      </w:r>
    </w:p>
    <w:p w14:paraId="7E9310A5" w14:textId="77777777" w:rsidR="00C9376A" w:rsidRPr="00C9376A" w:rsidRDefault="00C9376A" w:rsidP="00C9376A">
      <w:pPr>
        <w:rPr>
          <w:b/>
          <w:bCs/>
        </w:rPr>
      </w:pPr>
      <w:r w:rsidRPr="00C9376A">
        <w:rPr>
          <w:b/>
          <w:bCs/>
          <w:i/>
          <w:iCs/>
          <w:u w:val="single"/>
        </w:rPr>
        <w:t>Proposal</w:t>
      </w:r>
      <w:r>
        <w:rPr>
          <w:b/>
          <w:bCs/>
          <w:i/>
          <w:iCs/>
          <w:u w:val="single"/>
        </w:rPr>
        <w:t xml:space="preserve"> 2</w:t>
      </w:r>
      <w:r w:rsidRPr="00C9376A">
        <w:rPr>
          <w:b/>
          <w:bCs/>
        </w:rPr>
        <w:t>: Clarify the use of logical/physical time in different places of the specifications.</w:t>
      </w:r>
    </w:p>
    <w:p w14:paraId="6AF29741" w14:textId="4E2442A0" w:rsidR="00C9376A" w:rsidRPr="00C9376A" w:rsidRDefault="00C9376A" w:rsidP="00C9376A">
      <w:pPr>
        <w:pStyle w:val="ListParagraph"/>
        <w:numPr>
          <w:ilvl w:val="0"/>
          <w:numId w:val="47"/>
        </w:numPr>
        <w:rPr>
          <w:b/>
          <w:bCs/>
        </w:rPr>
      </w:pPr>
      <w:r w:rsidRPr="00C9376A">
        <w:rPr>
          <w:b/>
          <w:bCs/>
        </w:rPr>
        <w:t>Option 1: For half-duplex monitoring restrictions (such as Example 1.2 in this contribution), use logical time to index uplink transmissions with UL indices, DL reception with DL indices, and us</w:t>
      </w:r>
      <w:r w:rsidR="006123F2">
        <w:rPr>
          <w:b/>
          <w:bCs/>
        </w:rPr>
        <w:t>e</w:t>
      </w:r>
      <w:r w:rsidRPr="00C9376A">
        <w:rPr>
          <w:b/>
          <w:bCs/>
        </w:rPr>
        <w:t xml:space="preserve"> a TA term to link the two.</w:t>
      </w:r>
    </w:p>
    <w:p w14:paraId="77A188A1" w14:textId="77777777" w:rsidR="00C9376A" w:rsidRPr="00C9376A" w:rsidRDefault="00C9376A" w:rsidP="00C9376A">
      <w:pPr>
        <w:pStyle w:val="ListParagraph"/>
        <w:numPr>
          <w:ilvl w:val="0"/>
          <w:numId w:val="47"/>
        </w:numPr>
        <w:rPr>
          <w:b/>
          <w:bCs/>
        </w:rPr>
      </w:pPr>
      <w:r w:rsidRPr="00C9376A">
        <w:rPr>
          <w:b/>
          <w:bCs/>
        </w:rPr>
        <w:t>Option 2: Include a table in the specifications to state which relationships use logical time, and which use physical time.</w:t>
      </w:r>
    </w:p>
    <w:p w14:paraId="0B03779C" w14:textId="77777777" w:rsidR="00C9376A" w:rsidRPr="00C9376A" w:rsidRDefault="00C9376A" w:rsidP="00C9376A">
      <w:pPr>
        <w:pStyle w:val="ListParagraph"/>
        <w:numPr>
          <w:ilvl w:val="1"/>
          <w:numId w:val="47"/>
        </w:numPr>
        <w:rPr>
          <w:b/>
          <w:bCs/>
        </w:rPr>
      </w:pPr>
      <w:r w:rsidRPr="00C9376A">
        <w:rPr>
          <w:b/>
          <w:bCs/>
        </w:rPr>
        <w:t>Currently, only the half-duplex monitoring restrictions appear to use physical time, while other timing relationships use logical time.</w:t>
      </w:r>
    </w:p>
    <w:p w14:paraId="7CCD3A10" w14:textId="3E14DDAC" w:rsidR="00C9376A" w:rsidRPr="006123F2" w:rsidRDefault="00C9376A" w:rsidP="006123F2">
      <w:pPr>
        <w:pStyle w:val="NO"/>
        <w:ind w:left="0" w:firstLine="0"/>
        <w:rPr>
          <w:b/>
          <w:bCs/>
        </w:rPr>
      </w:pPr>
      <w:r w:rsidRPr="005846B4">
        <w:rPr>
          <w:b/>
          <w:bCs/>
          <w:i/>
          <w:iCs/>
          <w:u w:val="single"/>
        </w:rPr>
        <w:t>Proposal</w:t>
      </w:r>
      <w:r>
        <w:rPr>
          <w:b/>
          <w:bCs/>
          <w:i/>
          <w:iCs/>
          <w:u w:val="single"/>
        </w:rPr>
        <w:t xml:space="preserve"> 3</w:t>
      </w:r>
      <w:r w:rsidRPr="005846B4">
        <w:rPr>
          <w:b/>
          <w:bCs/>
        </w:rPr>
        <w:t>: Revert the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offset</m:t>
            </m:r>
          </m:sub>
        </m:sSub>
      </m:oMath>
      <w:r w:rsidRPr="005846B4">
        <w:rPr>
          <w:b/>
          <w:bCs/>
        </w:rPr>
        <w:t xml:space="preserve">” term in paragraph on TA command reception in Section 16.1.2 in TS 36.213. </w:t>
      </w:r>
    </w:p>
    <w:sectPr w:rsidR="00C9376A" w:rsidRPr="006123F2" w:rsidSect="00717CC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5BDE7" w14:textId="77777777" w:rsidR="00D5008D" w:rsidRDefault="00D5008D">
      <w:pPr>
        <w:spacing w:after="0"/>
      </w:pPr>
      <w:r>
        <w:separator/>
      </w:r>
    </w:p>
  </w:endnote>
  <w:endnote w:type="continuationSeparator" w:id="0">
    <w:p w14:paraId="0BBA3FF1" w14:textId="77777777" w:rsidR="00D5008D" w:rsidRDefault="00D5008D">
      <w:pPr>
        <w:spacing w:after="0"/>
      </w:pPr>
      <w:r>
        <w:continuationSeparator/>
      </w:r>
    </w:p>
  </w:endnote>
  <w:endnote w:type="continuationNotice" w:id="1">
    <w:p w14:paraId="74264456" w14:textId="77777777" w:rsidR="00D5008D" w:rsidRDefault="00D500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01B0E" w14:textId="77777777" w:rsidR="00D5008D" w:rsidRDefault="00D5008D">
      <w:pPr>
        <w:spacing w:after="0"/>
      </w:pPr>
      <w:r>
        <w:separator/>
      </w:r>
    </w:p>
  </w:footnote>
  <w:footnote w:type="continuationSeparator" w:id="0">
    <w:p w14:paraId="4EDADB84" w14:textId="77777777" w:rsidR="00D5008D" w:rsidRDefault="00D5008D">
      <w:pPr>
        <w:spacing w:after="0"/>
      </w:pPr>
      <w:r>
        <w:continuationSeparator/>
      </w:r>
    </w:p>
  </w:footnote>
  <w:footnote w:type="continuationNotice" w:id="1">
    <w:p w14:paraId="33730AC2" w14:textId="77777777" w:rsidR="00D5008D" w:rsidRDefault="00D500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86281D2C"/>
    <w:lvl w:ilvl="0">
      <w:start w:val="1"/>
      <w:numFmt w:val="decimal"/>
      <w:lvlText w:val="%1"/>
      <w:lvlJc w:val="left"/>
      <w:pPr>
        <w:tabs>
          <w:tab w:val="num" w:pos="1140"/>
        </w:tabs>
        <w:ind w:left="1140" w:hanging="1140"/>
      </w:pPr>
      <w:rPr>
        <w:rFonts w:hint="default"/>
        <w:b w:val="0"/>
        <w:bCs w:val="0"/>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7CA06AC"/>
    <w:multiLevelType w:val="hybridMultilevel"/>
    <w:tmpl w:val="735058B2"/>
    <w:lvl w:ilvl="0" w:tplc="FC3080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1915EC"/>
    <w:multiLevelType w:val="hybridMultilevel"/>
    <w:tmpl w:val="42D08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6552D"/>
    <w:multiLevelType w:val="hybridMultilevel"/>
    <w:tmpl w:val="4362991E"/>
    <w:lvl w:ilvl="0" w:tplc="9B7699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31F438E"/>
    <w:multiLevelType w:val="hybridMultilevel"/>
    <w:tmpl w:val="C91E270E"/>
    <w:lvl w:ilvl="0" w:tplc="C846A2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C505A8C"/>
    <w:multiLevelType w:val="hybridMultilevel"/>
    <w:tmpl w:val="05CE023E"/>
    <w:lvl w:ilvl="0" w:tplc="F8AEC0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42A79"/>
    <w:multiLevelType w:val="hybridMultilevel"/>
    <w:tmpl w:val="2ED2A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520D26"/>
    <w:multiLevelType w:val="hybridMultilevel"/>
    <w:tmpl w:val="168C42D4"/>
    <w:lvl w:ilvl="0" w:tplc="353478D8">
      <w:start w:val="1"/>
      <w:numFmt w:val="bullet"/>
      <w:lvlText w:val="•"/>
      <w:lvlJc w:val="left"/>
      <w:pPr>
        <w:tabs>
          <w:tab w:val="num" w:pos="720"/>
        </w:tabs>
        <w:ind w:left="720" w:hanging="360"/>
      </w:pPr>
      <w:rPr>
        <w:rFonts w:ascii="Arial" w:hAnsi="Arial" w:hint="default"/>
      </w:rPr>
    </w:lvl>
    <w:lvl w:ilvl="1" w:tplc="9910A0D8" w:tentative="1">
      <w:start w:val="1"/>
      <w:numFmt w:val="bullet"/>
      <w:lvlText w:val="•"/>
      <w:lvlJc w:val="left"/>
      <w:pPr>
        <w:tabs>
          <w:tab w:val="num" w:pos="1440"/>
        </w:tabs>
        <w:ind w:left="1440" w:hanging="360"/>
      </w:pPr>
      <w:rPr>
        <w:rFonts w:ascii="Arial" w:hAnsi="Arial" w:hint="default"/>
      </w:rPr>
    </w:lvl>
    <w:lvl w:ilvl="2" w:tplc="1A1020B2" w:tentative="1">
      <w:start w:val="1"/>
      <w:numFmt w:val="bullet"/>
      <w:lvlText w:val="•"/>
      <w:lvlJc w:val="left"/>
      <w:pPr>
        <w:tabs>
          <w:tab w:val="num" w:pos="2160"/>
        </w:tabs>
        <w:ind w:left="2160" w:hanging="360"/>
      </w:pPr>
      <w:rPr>
        <w:rFonts w:ascii="Arial" w:hAnsi="Arial" w:hint="default"/>
      </w:rPr>
    </w:lvl>
    <w:lvl w:ilvl="3" w:tplc="B568E778" w:tentative="1">
      <w:start w:val="1"/>
      <w:numFmt w:val="bullet"/>
      <w:lvlText w:val="•"/>
      <w:lvlJc w:val="left"/>
      <w:pPr>
        <w:tabs>
          <w:tab w:val="num" w:pos="2880"/>
        </w:tabs>
        <w:ind w:left="2880" w:hanging="360"/>
      </w:pPr>
      <w:rPr>
        <w:rFonts w:ascii="Arial" w:hAnsi="Arial" w:hint="default"/>
      </w:rPr>
    </w:lvl>
    <w:lvl w:ilvl="4" w:tplc="804C7644" w:tentative="1">
      <w:start w:val="1"/>
      <w:numFmt w:val="bullet"/>
      <w:lvlText w:val="•"/>
      <w:lvlJc w:val="left"/>
      <w:pPr>
        <w:tabs>
          <w:tab w:val="num" w:pos="3600"/>
        </w:tabs>
        <w:ind w:left="3600" w:hanging="360"/>
      </w:pPr>
      <w:rPr>
        <w:rFonts w:ascii="Arial" w:hAnsi="Arial" w:hint="default"/>
      </w:rPr>
    </w:lvl>
    <w:lvl w:ilvl="5" w:tplc="A0347C4C" w:tentative="1">
      <w:start w:val="1"/>
      <w:numFmt w:val="bullet"/>
      <w:lvlText w:val="•"/>
      <w:lvlJc w:val="left"/>
      <w:pPr>
        <w:tabs>
          <w:tab w:val="num" w:pos="4320"/>
        </w:tabs>
        <w:ind w:left="4320" w:hanging="360"/>
      </w:pPr>
      <w:rPr>
        <w:rFonts w:ascii="Arial" w:hAnsi="Arial" w:hint="default"/>
      </w:rPr>
    </w:lvl>
    <w:lvl w:ilvl="6" w:tplc="06BA8E52" w:tentative="1">
      <w:start w:val="1"/>
      <w:numFmt w:val="bullet"/>
      <w:lvlText w:val="•"/>
      <w:lvlJc w:val="left"/>
      <w:pPr>
        <w:tabs>
          <w:tab w:val="num" w:pos="5040"/>
        </w:tabs>
        <w:ind w:left="5040" w:hanging="360"/>
      </w:pPr>
      <w:rPr>
        <w:rFonts w:ascii="Arial" w:hAnsi="Arial" w:hint="default"/>
      </w:rPr>
    </w:lvl>
    <w:lvl w:ilvl="7" w:tplc="8130A954" w:tentative="1">
      <w:start w:val="1"/>
      <w:numFmt w:val="bullet"/>
      <w:lvlText w:val="•"/>
      <w:lvlJc w:val="left"/>
      <w:pPr>
        <w:tabs>
          <w:tab w:val="num" w:pos="5760"/>
        </w:tabs>
        <w:ind w:left="5760" w:hanging="360"/>
      </w:pPr>
      <w:rPr>
        <w:rFonts w:ascii="Arial" w:hAnsi="Arial" w:hint="default"/>
      </w:rPr>
    </w:lvl>
    <w:lvl w:ilvl="8" w:tplc="89E6D7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D91E88"/>
    <w:multiLevelType w:val="hybridMultilevel"/>
    <w:tmpl w:val="E454E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50353C"/>
    <w:multiLevelType w:val="hybridMultilevel"/>
    <w:tmpl w:val="17266052"/>
    <w:lvl w:ilvl="0" w:tplc="C2245AA0">
      <w:start w:val="1"/>
      <w:numFmt w:val="bullet"/>
      <w:lvlText w:val="•"/>
      <w:lvlJc w:val="left"/>
      <w:pPr>
        <w:tabs>
          <w:tab w:val="num" w:pos="720"/>
        </w:tabs>
        <w:ind w:left="720" w:hanging="360"/>
      </w:pPr>
      <w:rPr>
        <w:rFonts w:ascii="Arial" w:hAnsi="Arial" w:hint="default"/>
      </w:rPr>
    </w:lvl>
    <w:lvl w:ilvl="1" w:tplc="29D88D16" w:tentative="1">
      <w:start w:val="1"/>
      <w:numFmt w:val="bullet"/>
      <w:lvlText w:val="•"/>
      <w:lvlJc w:val="left"/>
      <w:pPr>
        <w:tabs>
          <w:tab w:val="num" w:pos="1440"/>
        </w:tabs>
        <w:ind w:left="1440" w:hanging="360"/>
      </w:pPr>
      <w:rPr>
        <w:rFonts w:ascii="Arial" w:hAnsi="Arial" w:hint="default"/>
      </w:rPr>
    </w:lvl>
    <w:lvl w:ilvl="2" w:tplc="F2B0DC28" w:tentative="1">
      <w:start w:val="1"/>
      <w:numFmt w:val="bullet"/>
      <w:lvlText w:val="•"/>
      <w:lvlJc w:val="left"/>
      <w:pPr>
        <w:tabs>
          <w:tab w:val="num" w:pos="2160"/>
        </w:tabs>
        <w:ind w:left="2160" w:hanging="360"/>
      </w:pPr>
      <w:rPr>
        <w:rFonts w:ascii="Arial" w:hAnsi="Arial" w:hint="default"/>
      </w:rPr>
    </w:lvl>
    <w:lvl w:ilvl="3" w:tplc="AF282D02" w:tentative="1">
      <w:start w:val="1"/>
      <w:numFmt w:val="bullet"/>
      <w:lvlText w:val="•"/>
      <w:lvlJc w:val="left"/>
      <w:pPr>
        <w:tabs>
          <w:tab w:val="num" w:pos="2880"/>
        </w:tabs>
        <w:ind w:left="2880" w:hanging="360"/>
      </w:pPr>
      <w:rPr>
        <w:rFonts w:ascii="Arial" w:hAnsi="Arial" w:hint="default"/>
      </w:rPr>
    </w:lvl>
    <w:lvl w:ilvl="4" w:tplc="288CFBD4" w:tentative="1">
      <w:start w:val="1"/>
      <w:numFmt w:val="bullet"/>
      <w:lvlText w:val="•"/>
      <w:lvlJc w:val="left"/>
      <w:pPr>
        <w:tabs>
          <w:tab w:val="num" w:pos="3600"/>
        </w:tabs>
        <w:ind w:left="3600" w:hanging="360"/>
      </w:pPr>
      <w:rPr>
        <w:rFonts w:ascii="Arial" w:hAnsi="Arial" w:hint="default"/>
      </w:rPr>
    </w:lvl>
    <w:lvl w:ilvl="5" w:tplc="C070403C" w:tentative="1">
      <w:start w:val="1"/>
      <w:numFmt w:val="bullet"/>
      <w:lvlText w:val="•"/>
      <w:lvlJc w:val="left"/>
      <w:pPr>
        <w:tabs>
          <w:tab w:val="num" w:pos="4320"/>
        </w:tabs>
        <w:ind w:left="4320" w:hanging="360"/>
      </w:pPr>
      <w:rPr>
        <w:rFonts w:ascii="Arial" w:hAnsi="Arial" w:hint="default"/>
      </w:rPr>
    </w:lvl>
    <w:lvl w:ilvl="6" w:tplc="A998CCD6" w:tentative="1">
      <w:start w:val="1"/>
      <w:numFmt w:val="bullet"/>
      <w:lvlText w:val="•"/>
      <w:lvlJc w:val="left"/>
      <w:pPr>
        <w:tabs>
          <w:tab w:val="num" w:pos="5040"/>
        </w:tabs>
        <w:ind w:left="5040" w:hanging="360"/>
      </w:pPr>
      <w:rPr>
        <w:rFonts w:ascii="Arial" w:hAnsi="Arial" w:hint="default"/>
      </w:rPr>
    </w:lvl>
    <w:lvl w:ilvl="7" w:tplc="B66019A4" w:tentative="1">
      <w:start w:val="1"/>
      <w:numFmt w:val="bullet"/>
      <w:lvlText w:val="•"/>
      <w:lvlJc w:val="left"/>
      <w:pPr>
        <w:tabs>
          <w:tab w:val="num" w:pos="5760"/>
        </w:tabs>
        <w:ind w:left="5760" w:hanging="360"/>
      </w:pPr>
      <w:rPr>
        <w:rFonts w:ascii="Arial" w:hAnsi="Arial" w:hint="default"/>
      </w:rPr>
    </w:lvl>
    <w:lvl w:ilvl="8" w:tplc="F9D069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75015B"/>
    <w:multiLevelType w:val="hybridMultilevel"/>
    <w:tmpl w:val="50728B40"/>
    <w:lvl w:ilvl="0" w:tplc="A92433FA">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EB7AF6"/>
    <w:multiLevelType w:val="hybridMultilevel"/>
    <w:tmpl w:val="E23E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129C4"/>
    <w:multiLevelType w:val="hybridMultilevel"/>
    <w:tmpl w:val="0100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FA3471"/>
    <w:multiLevelType w:val="hybridMultilevel"/>
    <w:tmpl w:val="0FE2B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E67411"/>
    <w:multiLevelType w:val="hybridMultilevel"/>
    <w:tmpl w:val="198C7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CF4A4A"/>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EEF5B78"/>
    <w:multiLevelType w:val="hybridMultilevel"/>
    <w:tmpl w:val="5D84E93A"/>
    <w:lvl w:ilvl="0" w:tplc="296670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D14C31"/>
    <w:multiLevelType w:val="hybridMultilevel"/>
    <w:tmpl w:val="BA749720"/>
    <w:lvl w:ilvl="0" w:tplc="02D61DB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28548E"/>
    <w:multiLevelType w:val="hybridMultilevel"/>
    <w:tmpl w:val="4C12B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F32FEA"/>
    <w:multiLevelType w:val="hybridMultilevel"/>
    <w:tmpl w:val="9DC04ABA"/>
    <w:lvl w:ilvl="0" w:tplc="50DC85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40B09"/>
    <w:multiLevelType w:val="hybridMultilevel"/>
    <w:tmpl w:val="A3882214"/>
    <w:lvl w:ilvl="0" w:tplc="D4A0B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722670"/>
    <w:multiLevelType w:val="hybridMultilevel"/>
    <w:tmpl w:val="F27AE958"/>
    <w:lvl w:ilvl="0" w:tplc="CBA05FF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7E0C12"/>
    <w:multiLevelType w:val="hybridMultilevel"/>
    <w:tmpl w:val="847E5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5953F88"/>
    <w:multiLevelType w:val="hybridMultilevel"/>
    <w:tmpl w:val="18561F0A"/>
    <w:lvl w:ilvl="0" w:tplc="4544BA60">
      <w:start w:val="1"/>
      <w:numFmt w:val="bullet"/>
      <w:lvlText w:val="•"/>
      <w:lvlJc w:val="left"/>
      <w:pPr>
        <w:tabs>
          <w:tab w:val="num" w:pos="720"/>
        </w:tabs>
        <w:ind w:left="720" w:hanging="360"/>
      </w:pPr>
      <w:rPr>
        <w:rFonts w:ascii="Arial" w:hAnsi="Arial" w:hint="default"/>
      </w:rPr>
    </w:lvl>
    <w:lvl w:ilvl="1" w:tplc="6F44E968" w:tentative="1">
      <w:start w:val="1"/>
      <w:numFmt w:val="bullet"/>
      <w:lvlText w:val="•"/>
      <w:lvlJc w:val="left"/>
      <w:pPr>
        <w:tabs>
          <w:tab w:val="num" w:pos="1440"/>
        </w:tabs>
        <w:ind w:left="1440" w:hanging="360"/>
      </w:pPr>
      <w:rPr>
        <w:rFonts w:ascii="Arial" w:hAnsi="Arial" w:hint="default"/>
      </w:rPr>
    </w:lvl>
    <w:lvl w:ilvl="2" w:tplc="BCFA3EDA" w:tentative="1">
      <w:start w:val="1"/>
      <w:numFmt w:val="bullet"/>
      <w:lvlText w:val="•"/>
      <w:lvlJc w:val="left"/>
      <w:pPr>
        <w:tabs>
          <w:tab w:val="num" w:pos="2160"/>
        </w:tabs>
        <w:ind w:left="2160" w:hanging="360"/>
      </w:pPr>
      <w:rPr>
        <w:rFonts w:ascii="Arial" w:hAnsi="Arial" w:hint="default"/>
      </w:rPr>
    </w:lvl>
    <w:lvl w:ilvl="3" w:tplc="B1C6A630" w:tentative="1">
      <w:start w:val="1"/>
      <w:numFmt w:val="bullet"/>
      <w:lvlText w:val="•"/>
      <w:lvlJc w:val="left"/>
      <w:pPr>
        <w:tabs>
          <w:tab w:val="num" w:pos="2880"/>
        </w:tabs>
        <w:ind w:left="2880" w:hanging="360"/>
      </w:pPr>
      <w:rPr>
        <w:rFonts w:ascii="Arial" w:hAnsi="Arial" w:hint="default"/>
      </w:rPr>
    </w:lvl>
    <w:lvl w:ilvl="4" w:tplc="33A81BA2" w:tentative="1">
      <w:start w:val="1"/>
      <w:numFmt w:val="bullet"/>
      <w:lvlText w:val="•"/>
      <w:lvlJc w:val="left"/>
      <w:pPr>
        <w:tabs>
          <w:tab w:val="num" w:pos="3600"/>
        </w:tabs>
        <w:ind w:left="3600" w:hanging="360"/>
      </w:pPr>
      <w:rPr>
        <w:rFonts w:ascii="Arial" w:hAnsi="Arial" w:hint="default"/>
      </w:rPr>
    </w:lvl>
    <w:lvl w:ilvl="5" w:tplc="561271BC" w:tentative="1">
      <w:start w:val="1"/>
      <w:numFmt w:val="bullet"/>
      <w:lvlText w:val="•"/>
      <w:lvlJc w:val="left"/>
      <w:pPr>
        <w:tabs>
          <w:tab w:val="num" w:pos="4320"/>
        </w:tabs>
        <w:ind w:left="4320" w:hanging="360"/>
      </w:pPr>
      <w:rPr>
        <w:rFonts w:ascii="Arial" w:hAnsi="Arial" w:hint="default"/>
      </w:rPr>
    </w:lvl>
    <w:lvl w:ilvl="6" w:tplc="B342731C" w:tentative="1">
      <w:start w:val="1"/>
      <w:numFmt w:val="bullet"/>
      <w:lvlText w:val="•"/>
      <w:lvlJc w:val="left"/>
      <w:pPr>
        <w:tabs>
          <w:tab w:val="num" w:pos="5040"/>
        </w:tabs>
        <w:ind w:left="5040" w:hanging="360"/>
      </w:pPr>
      <w:rPr>
        <w:rFonts w:ascii="Arial" w:hAnsi="Arial" w:hint="default"/>
      </w:rPr>
    </w:lvl>
    <w:lvl w:ilvl="7" w:tplc="60EC9DA6" w:tentative="1">
      <w:start w:val="1"/>
      <w:numFmt w:val="bullet"/>
      <w:lvlText w:val="•"/>
      <w:lvlJc w:val="left"/>
      <w:pPr>
        <w:tabs>
          <w:tab w:val="num" w:pos="5760"/>
        </w:tabs>
        <w:ind w:left="5760" w:hanging="360"/>
      </w:pPr>
      <w:rPr>
        <w:rFonts w:ascii="Arial" w:hAnsi="Arial" w:hint="default"/>
      </w:rPr>
    </w:lvl>
    <w:lvl w:ilvl="8" w:tplc="99EA2EF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B711190"/>
    <w:multiLevelType w:val="hybridMultilevel"/>
    <w:tmpl w:val="0C8A5C7C"/>
    <w:lvl w:ilvl="0" w:tplc="5D7854F6">
      <w:start w:val="1"/>
      <w:numFmt w:val="bullet"/>
      <w:lvlText w:val="•"/>
      <w:lvlJc w:val="left"/>
      <w:pPr>
        <w:tabs>
          <w:tab w:val="num" w:pos="720"/>
        </w:tabs>
        <w:ind w:left="720" w:hanging="360"/>
      </w:pPr>
      <w:rPr>
        <w:rFonts w:ascii="Arial" w:hAnsi="Arial" w:hint="default"/>
      </w:rPr>
    </w:lvl>
    <w:lvl w:ilvl="1" w:tplc="FD2061B8" w:tentative="1">
      <w:start w:val="1"/>
      <w:numFmt w:val="bullet"/>
      <w:lvlText w:val="•"/>
      <w:lvlJc w:val="left"/>
      <w:pPr>
        <w:tabs>
          <w:tab w:val="num" w:pos="1440"/>
        </w:tabs>
        <w:ind w:left="1440" w:hanging="360"/>
      </w:pPr>
      <w:rPr>
        <w:rFonts w:ascii="Arial" w:hAnsi="Arial" w:hint="default"/>
      </w:rPr>
    </w:lvl>
    <w:lvl w:ilvl="2" w:tplc="422AB4D2" w:tentative="1">
      <w:start w:val="1"/>
      <w:numFmt w:val="bullet"/>
      <w:lvlText w:val="•"/>
      <w:lvlJc w:val="left"/>
      <w:pPr>
        <w:tabs>
          <w:tab w:val="num" w:pos="2160"/>
        </w:tabs>
        <w:ind w:left="2160" w:hanging="360"/>
      </w:pPr>
      <w:rPr>
        <w:rFonts w:ascii="Arial" w:hAnsi="Arial" w:hint="default"/>
      </w:rPr>
    </w:lvl>
    <w:lvl w:ilvl="3" w:tplc="79D200A4" w:tentative="1">
      <w:start w:val="1"/>
      <w:numFmt w:val="bullet"/>
      <w:lvlText w:val="•"/>
      <w:lvlJc w:val="left"/>
      <w:pPr>
        <w:tabs>
          <w:tab w:val="num" w:pos="2880"/>
        </w:tabs>
        <w:ind w:left="2880" w:hanging="360"/>
      </w:pPr>
      <w:rPr>
        <w:rFonts w:ascii="Arial" w:hAnsi="Arial" w:hint="default"/>
      </w:rPr>
    </w:lvl>
    <w:lvl w:ilvl="4" w:tplc="08108BEC" w:tentative="1">
      <w:start w:val="1"/>
      <w:numFmt w:val="bullet"/>
      <w:lvlText w:val="•"/>
      <w:lvlJc w:val="left"/>
      <w:pPr>
        <w:tabs>
          <w:tab w:val="num" w:pos="3600"/>
        </w:tabs>
        <w:ind w:left="3600" w:hanging="360"/>
      </w:pPr>
      <w:rPr>
        <w:rFonts w:ascii="Arial" w:hAnsi="Arial" w:hint="default"/>
      </w:rPr>
    </w:lvl>
    <w:lvl w:ilvl="5" w:tplc="54D03F02" w:tentative="1">
      <w:start w:val="1"/>
      <w:numFmt w:val="bullet"/>
      <w:lvlText w:val="•"/>
      <w:lvlJc w:val="left"/>
      <w:pPr>
        <w:tabs>
          <w:tab w:val="num" w:pos="4320"/>
        </w:tabs>
        <w:ind w:left="4320" w:hanging="360"/>
      </w:pPr>
      <w:rPr>
        <w:rFonts w:ascii="Arial" w:hAnsi="Arial" w:hint="default"/>
      </w:rPr>
    </w:lvl>
    <w:lvl w:ilvl="6" w:tplc="7B9690C2" w:tentative="1">
      <w:start w:val="1"/>
      <w:numFmt w:val="bullet"/>
      <w:lvlText w:val="•"/>
      <w:lvlJc w:val="left"/>
      <w:pPr>
        <w:tabs>
          <w:tab w:val="num" w:pos="5040"/>
        </w:tabs>
        <w:ind w:left="5040" w:hanging="360"/>
      </w:pPr>
      <w:rPr>
        <w:rFonts w:ascii="Arial" w:hAnsi="Arial" w:hint="default"/>
      </w:rPr>
    </w:lvl>
    <w:lvl w:ilvl="7" w:tplc="F74E17D6" w:tentative="1">
      <w:start w:val="1"/>
      <w:numFmt w:val="bullet"/>
      <w:lvlText w:val="•"/>
      <w:lvlJc w:val="left"/>
      <w:pPr>
        <w:tabs>
          <w:tab w:val="num" w:pos="5760"/>
        </w:tabs>
        <w:ind w:left="5760" w:hanging="360"/>
      </w:pPr>
      <w:rPr>
        <w:rFonts w:ascii="Arial" w:hAnsi="Arial" w:hint="default"/>
      </w:rPr>
    </w:lvl>
    <w:lvl w:ilvl="8" w:tplc="D342392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E4182B"/>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42" w15:restartNumberingAfterBreak="0">
    <w:nsid w:val="792425B8"/>
    <w:multiLevelType w:val="hybridMultilevel"/>
    <w:tmpl w:val="53FAF7FC"/>
    <w:lvl w:ilvl="0" w:tplc="00EEEB2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E195628"/>
    <w:multiLevelType w:val="hybridMultilevel"/>
    <w:tmpl w:val="0E80A444"/>
    <w:lvl w:ilvl="0" w:tplc="793A0D0E">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71F53"/>
    <w:multiLevelType w:val="hybridMultilevel"/>
    <w:tmpl w:val="01EC27B2"/>
    <w:lvl w:ilvl="0" w:tplc="ED0C7B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4"/>
  </w:num>
  <w:num w:numId="3">
    <w:abstractNumId w:val="28"/>
  </w:num>
  <w:num w:numId="4">
    <w:abstractNumId w:val="33"/>
  </w:num>
  <w:num w:numId="5">
    <w:abstractNumId w:val="21"/>
  </w:num>
  <w:num w:numId="6">
    <w:abstractNumId w:val="36"/>
  </w:num>
  <w:num w:numId="7">
    <w:abstractNumId w:val="41"/>
  </w:num>
  <w:num w:numId="8">
    <w:abstractNumId w:val="10"/>
  </w:num>
  <w:num w:numId="9">
    <w:abstractNumId w:val="43"/>
  </w:num>
  <w:num w:numId="10">
    <w:abstractNumId w:val="25"/>
  </w:num>
  <w:num w:numId="11">
    <w:abstractNumId w:val="7"/>
  </w:num>
  <w:num w:numId="12">
    <w:abstractNumId w:val="2"/>
  </w:num>
  <w:num w:numId="13">
    <w:abstractNumId w:val="46"/>
  </w:num>
  <w:num w:numId="14">
    <w:abstractNumId w:val="20"/>
  </w:num>
  <w:num w:numId="15">
    <w:abstractNumId w:val="8"/>
  </w:num>
  <w:num w:numId="16">
    <w:abstractNumId w:val="3"/>
  </w:num>
  <w:num w:numId="17">
    <w:abstractNumId w:val="11"/>
  </w:num>
  <w:num w:numId="18">
    <w:abstractNumId w:val="35"/>
  </w:num>
  <w:num w:numId="19">
    <w:abstractNumId w:val="27"/>
  </w:num>
  <w:num w:numId="20">
    <w:abstractNumId w:val="19"/>
  </w:num>
  <w:num w:numId="21">
    <w:abstractNumId w:val="24"/>
  </w:num>
  <w:num w:numId="22">
    <w:abstractNumId w:val="6"/>
  </w:num>
  <w:num w:numId="23">
    <w:abstractNumId w:val="42"/>
  </w:num>
  <w:num w:numId="24">
    <w:abstractNumId w:val="9"/>
  </w:num>
  <w:num w:numId="25">
    <w:abstractNumId w:val="45"/>
  </w:num>
  <w:num w:numId="26">
    <w:abstractNumId w:val="31"/>
  </w:num>
  <w:num w:numId="27">
    <w:abstractNumId w:val="5"/>
  </w:num>
  <w:num w:numId="28">
    <w:abstractNumId w:val="30"/>
  </w:num>
  <w:num w:numId="29">
    <w:abstractNumId w:val="32"/>
  </w:num>
  <w:num w:numId="30">
    <w:abstractNumId w:val="40"/>
  </w:num>
  <w:num w:numId="31">
    <w:abstractNumId w:val="17"/>
  </w:num>
  <w:num w:numId="32">
    <w:abstractNumId w:val="16"/>
  </w:num>
  <w:num w:numId="33">
    <w:abstractNumId w:val="15"/>
  </w:num>
  <w:num w:numId="34">
    <w:abstractNumId w:val="18"/>
  </w:num>
  <w:num w:numId="35">
    <w:abstractNumId w:val="13"/>
  </w:num>
  <w:num w:numId="36">
    <w:abstractNumId w:val="1"/>
  </w:num>
  <w:num w:numId="37">
    <w:abstractNumId w:val="14"/>
  </w:num>
  <w:num w:numId="38">
    <w:abstractNumId w:val="12"/>
  </w:num>
  <w:num w:numId="39">
    <w:abstractNumId w:val="37"/>
  </w:num>
  <w:num w:numId="40">
    <w:abstractNumId w:val="38"/>
  </w:num>
  <w:num w:numId="41">
    <w:abstractNumId w:val="44"/>
  </w:num>
  <w:num w:numId="42">
    <w:abstractNumId w:val="29"/>
  </w:num>
  <w:num w:numId="43">
    <w:abstractNumId w:val="23"/>
  </w:num>
  <w:num w:numId="44">
    <w:abstractNumId w:val="22"/>
  </w:num>
  <w:num w:numId="45">
    <w:abstractNumId w:val="39"/>
  </w:num>
  <w:num w:numId="46">
    <w:abstractNumId w:val="34"/>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984"/>
    <w:rsid w:val="00005C95"/>
    <w:rsid w:val="0000789C"/>
    <w:rsid w:val="00010568"/>
    <w:rsid w:val="000123B2"/>
    <w:rsid w:val="00017D34"/>
    <w:rsid w:val="0002016E"/>
    <w:rsid w:val="00022216"/>
    <w:rsid w:val="000236C6"/>
    <w:rsid w:val="000273BD"/>
    <w:rsid w:val="000369C3"/>
    <w:rsid w:val="00036B14"/>
    <w:rsid w:val="00037582"/>
    <w:rsid w:val="00037919"/>
    <w:rsid w:val="0004041F"/>
    <w:rsid w:val="00042869"/>
    <w:rsid w:val="00042BED"/>
    <w:rsid w:val="00045BDF"/>
    <w:rsid w:val="00045EFB"/>
    <w:rsid w:val="00046020"/>
    <w:rsid w:val="0004745A"/>
    <w:rsid w:val="000500F7"/>
    <w:rsid w:val="000512B7"/>
    <w:rsid w:val="00054E5C"/>
    <w:rsid w:val="0005518C"/>
    <w:rsid w:val="00063D75"/>
    <w:rsid w:val="00063DAE"/>
    <w:rsid w:val="00064278"/>
    <w:rsid w:val="0006587F"/>
    <w:rsid w:val="000707F2"/>
    <w:rsid w:val="000715F6"/>
    <w:rsid w:val="0007530E"/>
    <w:rsid w:val="00080C19"/>
    <w:rsid w:val="00081CDD"/>
    <w:rsid w:val="00085FF9"/>
    <w:rsid w:val="00087D07"/>
    <w:rsid w:val="00091116"/>
    <w:rsid w:val="00092F20"/>
    <w:rsid w:val="00097051"/>
    <w:rsid w:val="00097E6B"/>
    <w:rsid w:val="000B1990"/>
    <w:rsid w:val="000B7C79"/>
    <w:rsid w:val="000C523A"/>
    <w:rsid w:val="000C6FD1"/>
    <w:rsid w:val="000C7209"/>
    <w:rsid w:val="000D1117"/>
    <w:rsid w:val="000D4151"/>
    <w:rsid w:val="000D4392"/>
    <w:rsid w:val="000D7B57"/>
    <w:rsid w:val="000E024B"/>
    <w:rsid w:val="000E1342"/>
    <w:rsid w:val="000E330D"/>
    <w:rsid w:val="000E6EEA"/>
    <w:rsid w:val="000E7606"/>
    <w:rsid w:val="000E792E"/>
    <w:rsid w:val="000F70C7"/>
    <w:rsid w:val="0010253A"/>
    <w:rsid w:val="001030EF"/>
    <w:rsid w:val="00103468"/>
    <w:rsid w:val="00114D8E"/>
    <w:rsid w:val="001172E8"/>
    <w:rsid w:val="00122D19"/>
    <w:rsid w:val="001232EC"/>
    <w:rsid w:val="00124E5D"/>
    <w:rsid w:val="00125DAC"/>
    <w:rsid w:val="0013490A"/>
    <w:rsid w:val="0013602A"/>
    <w:rsid w:val="001369AD"/>
    <w:rsid w:val="001408E1"/>
    <w:rsid w:val="00142B16"/>
    <w:rsid w:val="0014302F"/>
    <w:rsid w:val="00143B6B"/>
    <w:rsid w:val="00144F61"/>
    <w:rsid w:val="00146E52"/>
    <w:rsid w:val="001479F3"/>
    <w:rsid w:val="001536B5"/>
    <w:rsid w:val="00154C05"/>
    <w:rsid w:val="001554D1"/>
    <w:rsid w:val="001568D0"/>
    <w:rsid w:val="0015697F"/>
    <w:rsid w:val="0015790E"/>
    <w:rsid w:val="00166645"/>
    <w:rsid w:val="001701CE"/>
    <w:rsid w:val="00172DAC"/>
    <w:rsid w:val="00174B1F"/>
    <w:rsid w:val="0018067C"/>
    <w:rsid w:val="001839D7"/>
    <w:rsid w:val="00190E24"/>
    <w:rsid w:val="00195AB6"/>
    <w:rsid w:val="001A0CC7"/>
    <w:rsid w:val="001A1E09"/>
    <w:rsid w:val="001A452F"/>
    <w:rsid w:val="001B159B"/>
    <w:rsid w:val="001B1620"/>
    <w:rsid w:val="001B1B3A"/>
    <w:rsid w:val="001B1EC7"/>
    <w:rsid w:val="001B2556"/>
    <w:rsid w:val="001B2E20"/>
    <w:rsid w:val="001B300A"/>
    <w:rsid w:val="001B36F8"/>
    <w:rsid w:val="001B624B"/>
    <w:rsid w:val="001B7537"/>
    <w:rsid w:val="001C099B"/>
    <w:rsid w:val="001C3BBA"/>
    <w:rsid w:val="001C5370"/>
    <w:rsid w:val="001C6F21"/>
    <w:rsid w:val="001C7BC2"/>
    <w:rsid w:val="001D0240"/>
    <w:rsid w:val="001D0759"/>
    <w:rsid w:val="001E008E"/>
    <w:rsid w:val="001E0B5B"/>
    <w:rsid w:val="001E1134"/>
    <w:rsid w:val="001F70E2"/>
    <w:rsid w:val="00205F8E"/>
    <w:rsid w:val="00207541"/>
    <w:rsid w:val="00207596"/>
    <w:rsid w:val="00210305"/>
    <w:rsid w:val="002162F8"/>
    <w:rsid w:val="002217B4"/>
    <w:rsid w:val="00230057"/>
    <w:rsid w:val="00233298"/>
    <w:rsid w:val="002424FF"/>
    <w:rsid w:val="00244F6A"/>
    <w:rsid w:val="00245257"/>
    <w:rsid w:val="002500D0"/>
    <w:rsid w:val="0025012E"/>
    <w:rsid w:val="00255F0A"/>
    <w:rsid w:val="00256BFC"/>
    <w:rsid w:val="002576F2"/>
    <w:rsid w:val="00260902"/>
    <w:rsid w:val="00260F28"/>
    <w:rsid w:val="00262FFA"/>
    <w:rsid w:val="00263DE8"/>
    <w:rsid w:val="00264BDF"/>
    <w:rsid w:val="00266E71"/>
    <w:rsid w:val="002742EE"/>
    <w:rsid w:val="002804CE"/>
    <w:rsid w:val="00287B8D"/>
    <w:rsid w:val="002902B9"/>
    <w:rsid w:val="00291786"/>
    <w:rsid w:val="0029388D"/>
    <w:rsid w:val="0029478C"/>
    <w:rsid w:val="00295AEE"/>
    <w:rsid w:val="00296171"/>
    <w:rsid w:val="002A1F12"/>
    <w:rsid w:val="002A30DB"/>
    <w:rsid w:val="002A5D6B"/>
    <w:rsid w:val="002B2E77"/>
    <w:rsid w:val="002B3546"/>
    <w:rsid w:val="002B57F0"/>
    <w:rsid w:val="002C343D"/>
    <w:rsid w:val="002C481C"/>
    <w:rsid w:val="002C4BEF"/>
    <w:rsid w:val="002D0EEA"/>
    <w:rsid w:val="002D20C0"/>
    <w:rsid w:val="002D43BB"/>
    <w:rsid w:val="002D4470"/>
    <w:rsid w:val="002D6DA9"/>
    <w:rsid w:val="002D79FA"/>
    <w:rsid w:val="002E0ABA"/>
    <w:rsid w:val="002E59D6"/>
    <w:rsid w:val="003004C2"/>
    <w:rsid w:val="003009A5"/>
    <w:rsid w:val="00312866"/>
    <w:rsid w:val="00314B41"/>
    <w:rsid w:val="00315EF0"/>
    <w:rsid w:val="003214D1"/>
    <w:rsid w:val="003216E0"/>
    <w:rsid w:val="00321A89"/>
    <w:rsid w:val="0032350B"/>
    <w:rsid w:val="00327D74"/>
    <w:rsid w:val="00333D98"/>
    <w:rsid w:val="003362EB"/>
    <w:rsid w:val="0033638B"/>
    <w:rsid w:val="00340BCE"/>
    <w:rsid w:val="00340D26"/>
    <w:rsid w:val="00340FB1"/>
    <w:rsid w:val="003420C0"/>
    <w:rsid w:val="00343629"/>
    <w:rsid w:val="0035424A"/>
    <w:rsid w:val="00355044"/>
    <w:rsid w:val="00355ABE"/>
    <w:rsid w:val="00362F3B"/>
    <w:rsid w:val="00363577"/>
    <w:rsid w:val="00366839"/>
    <w:rsid w:val="00372768"/>
    <w:rsid w:val="0037788D"/>
    <w:rsid w:val="00382105"/>
    <w:rsid w:val="0038329C"/>
    <w:rsid w:val="00384FCD"/>
    <w:rsid w:val="00386F50"/>
    <w:rsid w:val="00387099"/>
    <w:rsid w:val="003907A8"/>
    <w:rsid w:val="0039215C"/>
    <w:rsid w:val="003945A7"/>
    <w:rsid w:val="0039464A"/>
    <w:rsid w:val="003A012C"/>
    <w:rsid w:val="003A0390"/>
    <w:rsid w:val="003B067D"/>
    <w:rsid w:val="003B0F05"/>
    <w:rsid w:val="003B2922"/>
    <w:rsid w:val="003C0419"/>
    <w:rsid w:val="003C0B13"/>
    <w:rsid w:val="003C2830"/>
    <w:rsid w:val="003C2936"/>
    <w:rsid w:val="003C2F38"/>
    <w:rsid w:val="003C4A6F"/>
    <w:rsid w:val="003C5BD8"/>
    <w:rsid w:val="003C7506"/>
    <w:rsid w:val="003D4599"/>
    <w:rsid w:val="003E3336"/>
    <w:rsid w:val="003E4EB7"/>
    <w:rsid w:val="003F1061"/>
    <w:rsid w:val="003F14E0"/>
    <w:rsid w:val="003F1A28"/>
    <w:rsid w:val="003F60AF"/>
    <w:rsid w:val="00400A2E"/>
    <w:rsid w:val="004013A4"/>
    <w:rsid w:val="00403D87"/>
    <w:rsid w:val="00404129"/>
    <w:rsid w:val="0040494C"/>
    <w:rsid w:val="004052F4"/>
    <w:rsid w:val="004054D3"/>
    <w:rsid w:val="00410A8D"/>
    <w:rsid w:val="0041454F"/>
    <w:rsid w:val="004147F2"/>
    <w:rsid w:val="0041506D"/>
    <w:rsid w:val="00421B57"/>
    <w:rsid w:val="00422609"/>
    <w:rsid w:val="00423CEA"/>
    <w:rsid w:val="00426EA5"/>
    <w:rsid w:val="00427E2F"/>
    <w:rsid w:val="00431380"/>
    <w:rsid w:val="004357F8"/>
    <w:rsid w:val="00436176"/>
    <w:rsid w:val="00436BFE"/>
    <w:rsid w:val="00436D42"/>
    <w:rsid w:val="00440303"/>
    <w:rsid w:val="0044037D"/>
    <w:rsid w:val="00443CD7"/>
    <w:rsid w:val="00444A1F"/>
    <w:rsid w:val="004456A9"/>
    <w:rsid w:val="00446569"/>
    <w:rsid w:val="004504C9"/>
    <w:rsid w:val="004523F4"/>
    <w:rsid w:val="00456A24"/>
    <w:rsid w:val="00457C6E"/>
    <w:rsid w:val="00461019"/>
    <w:rsid w:val="0046275D"/>
    <w:rsid w:val="00464CA3"/>
    <w:rsid w:val="0046551E"/>
    <w:rsid w:val="00476823"/>
    <w:rsid w:val="00476C2A"/>
    <w:rsid w:val="00480C10"/>
    <w:rsid w:val="00481F55"/>
    <w:rsid w:val="00483468"/>
    <w:rsid w:val="00483DE7"/>
    <w:rsid w:val="0048664A"/>
    <w:rsid w:val="0049213F"/>
    <w:rsid w:val="0049613A"/>
    <w:rsid w:val="004A136B"/>
    <w:rsid w:val="004A2F97"/>
    <w:rsid w:val="004A488A"/>
    <w:rsid w:val="004A772F"/>
    <w:rsid w:val="004B49AA"/>
    <w:rsid w:val="004C0ECA"/>
    <w:rsid w:val="004C5F77"/>
    <w:rsid w:val="004D3F76"/>
    <w:rsid w:val="004D4F96"/>
    <w:rsid w:val="004D634E"/>
    <w:rsid w:val="004E26B2"/>
    <w:rsid w:val="004E7551"/>
    <w:rsid w:val="004F25FD"/>
    <w:rsid w:val="004F412A"/>
    <w:rsid w:val="004F53B6"/>
    <w:rsid w:val="004F622E"/>
    <w:rsid w:val="00500B75"/>
    <w:rsid w:val="00505229"/>
    <w:rsid w:val="00505979"/>
    <w:rsid w:val="0051062E"/>
    <w:rsid w:val="0051448E"/>
    <w:rsid w:val="00517C94"/>
    <w:rsid w:val="00517F9D"/>
    <w:rsid w:val="00520E7B"/>
    <w:rsid w:val="00520F4B"/>
    <w:rsid w:val="00521317"/>
    <w:rsid w:val="00524FF3"/>
    <w:rsid w:val="00527F03"/>
    <w:rsid w:val="00527F8A"/>
    <w:rsid w:val="005328B5"/>
    <w:rsid w:val="00534087"/>
    <w:rsid w:val="00535140"/>
    <w:rsid w:val="00537332"/>
    <w:rsid w:val="0054317F"/>
    <w:rsid w:val="005446A1"/>
    <w:rsid w:val="0054719B"/>
    <w:rsid w:val="0055738F"/>
    <w:rsid w:val="00557D4B"/>
    <w:rsid w:val="00560F08"/>
    <w:rsid w:val="0056568B"/>
    <w:rsid w:val="0057366E"/>
    <w:rsid w:val="005778BD"/>
    <w:rsid w:val="00581DB1"/>
    <w:rsid w:val="00582CAB"/>
    <w:rsid w:val="005846B4"/>
    <w:rsid w:val="00586156"/>
    <w:rsid w:val="0059466F"/>
    <w:rsid w:val="00595973"/>
    <w:rsid w:val="00597070"/>
    <w:rsid w:val="005A312F"/>
    <w:rsid w:val="005A65BE"/>
    <w:rsid w:val="005A6DE2"/>
    <w:rsid w:val="005A74CD"/>
    <w:rsid w:val="005A75F2"/>
    <w:rsid w:val="005B0A3D"/>
    <w:rsid w:val="005B17D1"/>
    <w:rsid w:val="005B5084"/>
    <w:rsid w:val="005B5C6F"/>
    <w:rsid w:val="005B738C"/>
    <w:rsid w:val="005C4F4B"/>
    <w:rsid w:val="005D201C"/>
    <w:rsid w:val="005D5534"/>
    <w:rsid w:val="005D6B6E"/>
    <w:rsid w:val="005E55F7"/>
    <w:rsid w:val="005E6C8C"/>
    <w:rsid w:val="005F1605"/>
    <w:rsid w:val="005F279A"/>
    <w:rsid w:val="005F3A25"/>
    <w:rsid w:val="00600ADB"/>
    <w:rsid w:val="00600B37"/>
    <w:rsid w:val="00601F79"/>
    <w:rsid w:val="00610DC9"/>
    <w:rsid w:val="006123F2"/>
    <w:rsid w:val="00612769"/>
    <w:rsid w:val="00620296"/>
    <w:rsid w:val="006209CD"/>
    <w:rsid w:val="00621F7E"/>
    <w:rsid w:val="00623263"/>
    <w:rsid w:val="00626628"/>
    <w:rsid w:val="00632162"/>
    <w:rsid w:val="00635308"/>
    <w:rsid w:val="00640363"/>
    <w:rsid w:val="0064384F"/>
    <w:rsid w:val="006438A3"/>
    <w:rsid w:val="00647D8A"/>
    <w:rsid w:val="00651E33"/>
    <w:rsid w:val="006530FE"/>
    <w:rsid w:val="00661574"/>
    <w:rsid w:val="00662A01"/>
    <w:rsid w:val="00664B96"/>
    <w:rsid w:val="00667A31"/>
    <w:rsid w:val="00672CA0"/>
    <w:rsid w:val="00674A20"/>
    <w:rsid w:val="006805FD"/>
    <w:rsid w:val="006807E3"/>
    <w:rsid w:val="006813FA"/>
    <w:rsid w:val="00683D31"/>
    <w:rsid w:val="006915FF"/>
    <w:rsid w:val="00694ED0"/>
    <w:rsid w:val="006A5BD0"/>
    <w:rsid w:val="006A712D"/>
    <w:rsid w:val="006B2436"/>
    <w:rsid w:val="006B3A59"/>
    <w:rsid w:val="006B79E3"/>
    <w:rsid w:val="006C0BB2"/>
    <w:rsid w:val="006C12DE"/>
    <w:rsid w:val="006C1D96"/>
    <w:rsid w:val="006C5ED9"/>
    <w:rsid w:val="006E175E"/>
    <w:rsid w:val="006E254E"/>
    <w:rsid w:val="006E7B65"/>
    <w:rsid w:val="00701187"/>
    <w:rsid w:val="00702EB8"/>
    <w:rsid w:val="00705E0D"/>
    <w:rsid w:val="007067A8"/>
    <w:rsid w:val="00710096"/>
    <w:rsid w:val="00712BC8"/>
    <w:rsid w:val="007130B5"/>
    <w:rsid w:val="0071390B"/>
    <w:rsid w:val="007165F3"/>
    <w:rsid w:val="00717CCC"/>
    <w:rsid w:val="00722924"/>
    <w:rsid w:val="007331DA"/>
    <w:rsid w:val="007366C0"/>
    <w:rsid w:val="00737E91"/>
    <w:rsid w:val="00743D60"/>
    <w:rsid w:val="00745B50"/>
    <w:rsid w:val="00745BBB"/>
    <w:rsid w:val="00745BCD"/>
    <w:rsid w:val="00750465"/>
    <w:rsid w:val="0075364E"/>
    <w:rsid w:val="00755233"/>
    <w:rsid w:val="0075604E"/>
    <w:rsid w:val="007575DD"/>
    <w:rsid w:val="0076377E"/>
    <w:rsid w:val="00764301"/>
    <w:rsid w:val="0077399C"/>
    <w:rsid w:val="00776B26"/>
    <w:rsid w:val="007849F3"/>
    <w:rsid w:val="00784DC8"/>
    <w:rsid w:val="00791B75"/>
    <w:rsid w:val="0079416A"/>
    <w:rsid w:val="00794448"/>
    <w:rsid w:val="0079447F"/>
    <w:rsid w:val="0079595B"/>
    <w:rsid w:val="007B62B2"/>
    <w:rsid w:val="007C0C7E"/>
    <w:rsid w:val="007C1101"/>
    <w:rsid w:val="007C370A"/>
    <w:rsid w:val="007C3908"/>
    <w:rsid w:val="007C475C"/>
    <w:rsid w:val="007D38E7"/>
    <w:rsid w:val="007D4525"/>
    <w:rsid w:val="007D461B"/>
    <w:rsid w:val="007E6B5F"/>
    <w:rsid w:val="007E7769"/>
    <w:rsid w:val="007F0BCB"/>
    <w:rsid w:val="007F2CAB"/>
    <w:rsid w:val="007F3D75"/>
    <w:rsid w:val="007F6421"/>
    <w:rsid w:val="007F72E4"/>
    <w:rsid w:val="0080168D"/>
    <w:rsid w:val="008019C7"/>
    <w:rsid w:val="00801FF0"/>
    <w:rsid w:val="00810180"/>
    <w:rsid w:val="00810FE0"/>
    <w:rsid w:val="00814286"/>
    <w:rsid w:val="008143F4"/>
    <w:rsid w:val="00820856"/>
    <w:rsid w:val="008208F6"/>
    <w:rsid w:val="00820A4A"/>
    <w:rsid w:val="008221BA"/>
    <w:rsid w:val="008260B0"/>
    <w:rsid w:val="008319A5"/>
    <w:rsid w:val="0083283A"/>
    <w:rsid w:val="00835C35"/>
    <w:rsid w:val="00845880"/>
    <w:rsid w:val="0084729A"/>
    <w:rsid w:val="00851F6A"/>
    <w:rsid w:val="008539A0"/>
    <w:rsid w:val="0085676B"/>
    <w:rsid w:val="00857FA7"/>
    <w:rsid w:val="008639B9"/>
    <w:rsid w:val="0086481F"/>
    <w:rsid w:val="00866ACC"/>
    <w:rsid w:val="00866F78"/>
    <w:rsid w:val="00867677"/>
    <w:rsid w:val="00874392"/>
    <w:rsid w:val="008744D8"/>
    <w:rsid w:val="00874D52"/>
    <w:rsid w:val="00875048"/>
    <w:rsid w:val="00880446"/>
    <w:rsid w:val="0088116B"/>
    <w:rsid w:val="0089184B"/>
    <w:rsid w:val="0089235F"/>
    <w:rsid w:val="00893F41"/>
    <w:rsid w:val="00894E1A"/>
    <w:rsid w:val="008A0F3C"/>
    <w:rsid w:val="008A385C"/>
    <w:rsid w:val="008A43E0"/>
    <w:rsid w:val="008B2A6B"/>
    <w:rsid w:val="008B3FAF"/>
    <w:rsid w:val="008B6A31"/>
    <w:rsid w:val="008B7F3F"/>
    <w:rsid w:val="008C075D"/>
    <w:rsid w:val="008C6866"/>
    <w:rsid w:val="008C6B2A"/>
    <w:rsid w:val="008C724C"/>
    <w:rsid w:val="008C79B8"/>
    <w:rsid w:val="008D022D"/>
    <w:rsid w:val="008D58EC"/>
    <w:rsid w:val="008D60F7"/>
    <w:rsid w:val="008E16CC"/>
    <w:rsid w:val="008E469A"/>
    <w:rsid w:val="008F345D"/>
    <w:rsid w:val="008F3E1A"/>
    <w:rsid w:val="00900B1E"/>
    <w:rsid w:val="00900DDD"/>
    <w:rsid w:val="00901E73"/>
    <w:rsid w:val="00904028"/>
    <w:rsid w:val="00905BDA"/>
    <w:rsid w:val="00905CEA"/>
    <w:rsid w:val="00910683"/>
    <w:rsid w:val="00911E51"/>
    <w:rsid w:val="009144A5"/>
    <w:rsid w:val="009227A4"/>
    <w:rsid w:val="0092605B"/>
    <w:rsid w:val="00927AA0"/>
    <w:rsid w:val="00930937"/>
    <w:rsid w:val="00932470"/>
    <w:rsid w:val="00933FE6"/>
    <w:rsid w:val="00935E08"/>
    <w:rsid w:val="009365E1"/>
    <w:rsid w:val="009423AD"/>
    <w:rsid w:val="0094476D"/>
    <w:rsid w:val="0094584E"/>
    <w:rsid w:val="009467F5"/>
    <w:rsid w:val="00946B91"/>
    <w:rsid w:val="00946ECC"/>
    <w:rsid w:val="00952795"/>
    <w:rsid w:val="00953207"/>
    <w:rsid w:val="0095520E"/>
    <w:rsid w:val="00963807"/>
    <w:rsid w:val="00965F9D"/>
    <w:rsid w:val="0097013C"/>
    <w:rsid w:val="00972BE8"/>
    <w:rsid w:val="00975017"/>
    <w:rsid w:val="00977172"/>
    <w:rsid w:val="00980734"/>
    <w:rsid w:val="00983CCC"/>
    <w:rsid w:val="00983EFA"/>
    <w:rsid w:val="0099393C"/>
    <w:rsid w:val="009A0514"/>
    <w:rsid w:val="009A3F14"/>
    <w:rsid w:val="009A63A0"/>
    <w:rsid w:val="009A6EF5"/>
    <w:rsid w:val="009B35DE"/>
    <w:rsid w:val="009B4B23"/>
    <w:rsid w:val="009B5D79"/>
    <w:rsid w:val="009C1283"/>
    <w:rsid w:val="009C1D18"/>
    <w:rsid w:val="009C5056"/>
    <w:rsid w:val="009C7295"/>
    <w:rsid w:val="009D25C6"/>
    <w:rsid w:val="009D2CAE"/>
    <w:rsid w:val="009D5294"/>
    <w:rsid w:val="009E2C20"/>
    <w:rsid w:val="009E4DFE"/>
    <w:rsid w:val="009F0072"/>
    <w:rsid w:val="009F4BFB"/>
    <w:rsid w:val="00A02592"/>
    <w:rsid w:val="00A06BA2"/>
    <w:rsid w:val="00A06D2F"/>
    <w:rsid w:val="00A06DC4"/>
    <w:rsid w:val="00A168C0"/>
    <w:rsid w:val="00A238B6"/>
    <w:rsid w:val="00A27BA8"/>
    <w:rsid w:val="00A30C68"/>
    <w:rsid w:val="00A33AC8"/>
    <w:rsid w:val="00A34ED4"/>
    <w:rsid w:val="00A40DBD"/>
    <w:rsid w:val="00A450A0"/>
    <w:rsid w:val="00A45641"/>
    <w:rsid w:val="00A45914"/>
    <w:rsid w:val="00A5043D"/>
    <w:rsid w:val="00A52349"/>
    <w:rsid w:val="00A544C8"/>
    <w:rsid w:val="00A54682"/>
    <w:rsid w:val="00A553CA"/>
    <w:rsid w:val="00A624A4"/>
    <w:rsid w:val="00A64E9E"/>
    <w:rsid w:val="00A65F7B"/>
    <w:rsid w:val="00A70500"/>
    <w:rsid w:val="00A75D6C"/>
    <w:rsid w:val="00A77188"/>
    <w:rsid w:val="00A8319B"/>
    <w:rsid w:val="00A86E0F"/>
    <w:rsid w:val="00A90A5B"/>
    <w:rsid w:val="00A91281"/>
    <w:rsid w:val="00A9229B"/>
    <w:rsid w:val="00A9498E"/>
    <w:rsid w:val="00A95E59"/>
    <w:rsid w:val="00AA03A9"/>
    <w:rsid w:val="00AA0C73"/>
    <w:rsid w:val="00AA43FE"/>
    <w:rsid w:val="00AA6350"/>
    <w:rsid w:val="00AA685A"/>
    <w:rsid w:val="00AB0159"/>
    <w:rsid w:val="00AB0C82"/>
    <w:rsid w:val="00AB16E1"/>
    <w:rsid w:val="00AB425B"/>
    <w:rsid w:val="00AB5BA1"/>
    <w:rsid w:val="00AB6DBE"/>
    <w:rsid w:val="00AC0FBA"/>
    <w:rsid w:val="00AC15EF"/>
    <w:rsid w:val="00AC1F9E"/>
    <w:rsid w:val="00AC2E25"/>
    <w:rsid w:val="00AC6C81"/>
    <w:rsid w:val="00AD0869"/>
    <w:rsid w:val="00AD2460"/>
    <w:rsid w:val="00AD444A"/>
    <w:rsid w:val="00AD7F52"/>
    <w:rsid w:val="00AE187B"/>
    <w:rsid w:val="00AE6490"/>
    <w:rsid w:val="00AE65F0"/>
    <w:rsid w:val="00AE7EB7"/>
    <w:rsid w:val="00AF1253"/>
    <w:rsid w:val="00AF522C"/>
    <w:rsid w:val="00AF71CE"/>
    <w:rsid w:val="00B00EDB"/>
    <w:rsid w:val="00B01592"/>
    <w:rsid w:val="00B037AB"/>
    <w:rsid w:val="00B06C22"/>
    <w:rsid w:val="00B06E32"/>
    <w:rsid w:val="00B07575"/>
    <w:rsid w:val="00B07B9D"/>
    <w:rsid w:val="00B16A2A"/>
    <w:rsid w:val="00B17212"/>
    <w:rsid w:val="00B17547"/>
    <w:rsid w:val="00B248C0"/>
    <w:rsid w:val="00B25FF6"/>
    <w:rsid w:val="00B30767"/>
    <w:rsid w:val="00B32506"/>
    <w:rsid w:val="00B339A0"/>
    <w:rsid w:val="00B34CFC"/>
    <w:rsid w:val="00B3722A"/>
    <w:rsid w:val="00B40DA9"/>
    <w:rsid w:val="00B42AB1"/>
    <w:rsid w:val="00B44059"/>
    <w:rsid w:val="00B46110"/>
    <w:rsid w:val="00B4627F"/>
    <w:rsid w:val="00B50E38"/>
    <w:rsid w:val="00B517F2"/>
    <w:rsid w:val="00B53A01"/>
    <w:rsid w:val="00B54CD3"/>
    <w:rsid w:val="00B563DD"/>
    <w:rsid w:val="00B564B4"/>
    <w:rsid w:val="00B60449"/>
    <w:rsid w:val="00B64F64"/>
    <w:rsid w:val="00B66A8B"/>
    <w:rsid w:val="00B67771"/>
    <w:rsid w:val="00B7110D"/>
    <w:rsid w:val="00B71340"/>
    <w:rsid w:val="00B7321D"/>
    <w:rsid w:val="00B73FDF"/>
    <w:rsid w:val="00B80622"/>
    <w:rsid w:val="00B822DC"/>
    <w:rsid w:val="00B82E59"/>
    <w:rsid w:val="00B84F3B"/>
    <w:rsid w:val="00B86860"/>
    <w:rsid w:val="00B86CC7"/>
    <w:rsid w:val="00B9264A"/>
    <w:rsid w:val="00B96062"/>
    <w:rsid w:val="00BA11DA"/>
    <w:rsid w:val="00BA219C"/>
    <w:rsid w:val="00BA2B73"/>
    <w:rsid w:val="00BA2E5A"/>
    <w:rsid w:val="00BA3BB8"/>
    <w:rsid w:val="00BA49DF"/>
    <w:rsid w:val="00BA6CD3"/>
    <w:rsid w:val="00BA7766"/>
    <w:rsid w:val="00BA77E3"/>
    <w:rsid w:val="00BB3434"/>
    <w:rsid w:val="00BB4DA5"/>
    <w:rsid w:val="00BC0631"/>
    <w:rsid w:val="00BC0D0A"/>
    <w:rsid w:val="00BC3A60"/>
    <w:rsid w:val="00BC54A0"/>
    <w:rsid w:val="00BD0F8A"/>
    <w:rsid w:val="00BD52C2"/>
    <w:rsid w:val="00BD5705"/>
    <w:rsid w:val="00BE1144"/>
    <w:rsid w:val="00BE7E96"/>
    <w:rsid w:val="00BF27FB"/>
    <w:rsid w:val="00BF2F91"/>
    <w:rsid w:val="00BF33C1"/>
    <w:rsid w:val="00BF5B51"/>
    <w:rsid w:val="00BF66DB"/>
    <w:rsid w:val="00BF7D4E"/>
    <w:rsid w:val="00C05451"/>
    <w:rsid w:val="00C056B0"/>
    <w:rsid w:val="00C05C78"/>
    <w:rsid w:val="00C07A6B"/>
    <w:rsid w:val="00C15973"/>
    <w:rsid w:val="00C16784"/>
    <w:rsid w:val="00C23CDB"/>
    <w:rsid w:val="00C262A2"/>
    <w:rsid w:val="00C30A2F"/>
    <w:rsid w:val="00C32B82"/>
    <w:rsid w:val="00C36A53"/>
    <w:rsid w:val="00C4411B"/>
    <w:rsid w:val="00C51EDA"/>
    <w:rsid w:val="00C60F19"/>
    <w:rsid w:val="00C65431"/>
    <w:rsid w:val="00C672BE"/>
    <w:rsid w:val="00C7266E"/>
    <w:rsid w:val="00C74923"/>
    <w:rsid w:val="00C74C69"/>
    <w:rsid w:val="00C75552"/>
    <w:rsid w:val="00C76404"/>
    <w:rsid w:val="00C778FF"/>
    <w:rsid w:val="00C80DB7"/>
    <w:rsid w:val="00C84CE5"/>
    <w:rsid w:val="00C902B5"/>
    <w:rsid w:val="00C90D68"/>
    <w:rsid w:val="00C91AC2"/>
    <w:rsid w:val="00C9376A"/>
    <w:rsid w:val="00C94E0B"/>
    <w:rsid w:val="00CA3A6D"/>
    <w:rsid w:val="00CB0DF1"/>
    <w:rsid w:val="00CB2165"/>
    <w:rsid w:val="00CB37F3"/>
    <w:rsid w:val="00CB704C"/>
    <w:rsid w:val="00CC10E9"/>
    <w:rsid w:val="00CC5425"/>
    <w:rsid w:val="00CD37DE"/>
    <w:rsid w:val="00CD4191"/>
    <w:rsid w:val="00CD471E"/>
    <w:rsid w:val="00CD6583"/>
    <w:rsid w:val="00CE04F7"/>
    <w:rsid w:val="00CE3419"/>
    <w:rsid w:val="00CE4D3A"/>
    <w:rsid w:val="00CE6983"/>
    <w:rsid w:val="00CF0D23"/>
    <w:rsid w:val="00D03AD4"/>
    <w:rsid w:val="00D047DA"/>
    <w:rsid w:val="00D04BEA"/>
    <w:rsid w:val="00D05C13"/>
    <w:rsid w:val="00D06194"/>
    <w:rsid w:val="00D0651D"/>
    <w:rsid w:val="00D10724"/>
    <w:rsid w:val="00D132FE"/>
    <w:rsid w:val="00D14140"/>
    <w:rsid w:val="00D14E6F"/>
    <w:rsid w:val="00D15E27"/>
    <w:rsid w:val="00D201DA"/>
    <w:rsid w:val="00D24C0A"/>
    <w:rsid w:val="00D26187"/>
    <w:rsid w:val="00D2656E"/>
    <w:rsid w:val="00D277F2"/>
    <w:rsid w:val="00D3097D"/>
    <w:rsid w:val="00D31AEF"/>
    <w:rsid w:val="00D40150"/>
    <w:rsid w:val="00D4085B"/>
    <w:rsid w:val="00D434AA"/>
    <w:rsid w:val="00D435C2"/>
    <w:rsid w:val="00D43F0A"/>
    <w:rsid w:val="00D45174"/>
    <w:rsid w:val="00D5008D"/>
    <w:rsid w:val="00D534BF"/>
    <w:rsid w:val="00D6066F"/>
    <w:rsid w:val="00D60EF1"/>
    <w:rsid w:val="00D61DA9"/>
    <w:rsid w:val="00D61E87"/>
    <w:rsid w:val="00D61FB5"/>
    <w:rsid w:val="00D62A52"/>
    <w:rsid w:val="00D65537"/>
    <w:rsid w:val="00D76286"/>
    <w:rsid w:val="00D82162"/>
    <w:rsid w:val="00D8305F"/>
    <w:rsid w:val="00D90AFC"/>
    <w:rsid w:val="00D90D15"/>
    <w:rsid w:val="00D95F0C"/>
    <w:rsid w:val="00DA0150"/>
    <w:rsid w:val="00DA7FFB"/>
    <w:rsid w:val="00DB26F6"/>
    <w:rsid w:val="00DC6F4D"/>
    <w:rsid w:val="00DC77DB"/>
    <w:rsid w:val="00DD0D40"/>
    <w:rsid w:val="00DE20C2"/>
    <w:rsid w:val="00DE5EF4"/>
    <w:rsid w:val="00DF0F68"/>
    <w:rsid w:val="00DF2BDF"/>
    <w:rsid w:val="00DF3E88"/>
    <w:rsid w:val="00DF469B"/>
    <w:rsid w:val="00E03FCE"/>
    <w:rsid w:val="00E06B08"/>
    <w:rsid w:val="00E07417"/>
    <w:rsid w:val="00E11416"/>
    <w:rsid w:val="00E15ED1"/>
    <w:rsid w:val="00E2389A"/>
    <w:rsid w:val="00E251FD"/>
    <w:rsid w:val="00E26E6A"/>
    <w:rsid w:val="00E3117A"/>
    <w:rsid w:val="00E31684"/>
    <w:rsid w:val="00E32DDA"/>
    <w:rsid w:val="00E32EE8"/>
    <w:rsid w:val="00E357FC"/>
    <w:rsid w:val="00E37D8F"/>
    <w:rsid w:val="00E42B67"/>
    <w:rsid w:val="00E4711B"/>
    <w:rsid w:val="00E537D5"/>
    <w:rsid w:val="00E5486D"/>
    <w:rsid w:val="00E571C2"/>
    <w:rsid w:val="00E605EA"/>
    <w:rsid w:val="00E64FFE"/>
    <w:rsid w:val="00E670D8"/>
    <w:rsid w:val="00E70E42"/>
    <w:rsid w:val="00E74900"/>
    <w:rsid w:val="00E74BCC"/>
    <w:rsid w:val="00E836D1"/>
    <w:rsid w:val="00E85198"/>
    <w:rsid w:val="00E860F3"/>
    <w:rsid w:val="00E869B4"/>
    <w:rsid w:val="00E958B0"/>
    <w:rsid w:val="00E958E3"/>
    <w:rsid w:val="00E9595B"/>
    <w:rsid w:val="00EA0011"/>
    <w:rsid w:val="00EA2860"/>
    <w:rsid w:val="00EA2CBA"/>
    <w:rsid w:val="00EA7263"/>
    <w:rsid w:val="00EA74C5"/>
    <w:rsid w:val="00EB2E5E"/>
    <w:rsid w:val="00EB76BB"/>
    <w:rsid w:val="00EC2CE5"/>
    <w:rsid w:val="00EC720F"/>
    <w:rsid w:val="00ED1A12"/>
    <w:rsid w:val="00ED1C72"/>
    <w:rsid w:val="00ED316F"/>
    <w:rsid w:val="00ED6A14"/>
    <w:rsid w:val="00EE0880"/>
    <w:rsid w:val="00EE564D"/>
    <w:rsid w:val="00EF15B3"/>
    <w:rsid w:val="00EF38BF"/>
    <w:rsid w:val="00EF4C3F"/>
    <w:rsid w:val="00EF786E"/>
    <w:rsid w:val="00F00BC4"/>
    <w:rsid w:val="00F0175D"/>
    <w:rsid w:val="00F0352C"/>
    <w:rsid w:val="00F03D87"/>
    <w:rsid w:val="00F1098D"/>
    <w:rsid w:val="00F10A93"/>
    <w:rsid w:val="00F11B37"/>
    <w:rsid w:val="00F127CE"/>
    <w:rsid w:val="00F1324F"/>
    <w:rsid w:val="00F22702"/>
    <w:rsid w:val="00F2289D"/>
    <w:rsid w:val="00F26EB9"/>
    <w:rsid w:val="00F2753D"/>
    <w:rsid w:val="00F30092"/>
    <w:rsid w:val="00F31C29"/>
    <w:rsid w:val="00F321D7"/>
    <w:rsid w:val="00F33A06"/>
    <w:rsid w:val="00F34287"/>
    <w:rsid w:val="00F36DAE"/>
    <w:rsid w:val="00F43612"/>
    <w:rsid w:val="00F43A50"/>
    <w:rsid w:val="00F45DBB"/>
    <w:rsid w:val="00F460EB"/>
    <w:rsid w:val="00F46141"/>
    <w:rsid w:val="00F472FC"/>
    <w:rsid w:val="00F47E3B"/>
    <w:rsid w:val="00F50996"/>
    <w:rsid w:val="00F5209A"/>
    <w:rsid w:val="00F542EA"/>
    <w:rsid w:val="00F55FC0"/>
    <w:rsid w:val="00F5785D"/>
    <w:rsid w:val="00F617C8"/>
    <w:rsid w:val="00F629D0"/>
    <w:rsid w:val="00F637C3"/>
    <w:rsid w:val="00F63972"/>
    <w:rsid w:val="00F6759D"/>
    <w:rsid w:val="00F678F5"/>
    <w:rsid w:val="00F67F4B"/>
    <w:rsid w:val="00F710F6"/>
    <w:rsid w:val="00F731F3"/>
    <w:rsid w:val="00F83FCC"/>
    <w:rsid w:val="00F85BD3"/>
    <w:rsid w:val="00F8682C"/>
    <w:rsid w:val="00F87A7D"/>
    <w:rsid w:val="00F87B1E"/>
    <w:rsid w:val="00F9032C"/>
    <w:rsid w:val="00F90E18"/>
    <w:rsid w:val="00F90E1B"/>
    <w:rsid w:val="00F92013"/>
    <w:rsid w:val="00FA00E1"/>
    <w:rsid w:val="00FA0994"/>
    <w:rsid w:val="00FA2448"/>
    <w:rsid w:val="00FA2C64"/>
    <w:rsid w:val="00FA3D40"/>
    <w:rsid w:val="00FA4CAA"/>
    <w:rsid w:val="00FA693D"/>
    <w:rsid w:val="00FB1A4D"/>
    <w:rsid w:val="00FB4122"/>
    <w:rsid w:val="00FB5638"/>
    <w:rsid w:val="00FB59C6"/>
    <w:rsid w:val="00FB7C76"/>
    <w:rsid w:val="00FC2C4F"/>
    <w:rsid w:val="00FD4AD2"/>
    <w:rsid w:val="00FD7CBB"/>
    <w:rsid w:val="00FE44AD"/>
    <w:rsid w:val="00FF1B74"/>
    <w:rsid w:val="00FF2302"/>
    <w:rsid w:val="00FF2EA9"/>
    <w:rsid w:val="00FF3C1E"/>
    <w:rsid w:val="00FF51D2"/>
    <w:rsid w:val="00FF5A0C"/>
    <w:rsid w:val="00FF6B78"/>
    <w:rsid w:val="00FF75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0880"/>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A49DF"/>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A49DF"/>
    <w:rPr>
      <w:rFonts w:ascii="Times" w:eastAsia="Batang" w:hAnsi="Times"/>
      <w:szCs w:val="24"/>
      <w:lang w:val="en-GB" w:eastAsia="x-none"/>
    </w:rPr>
  </w:style>
  <w:style w:type="paragraph" w:styleId="NormalWeb">
    <w:name w:val="Normal (Web)"/>
    <w:basedOn w:val="Normal"/>
    <w:uiPriority w:val="99"/>
    <w:semiHidden/>
    <w:unhideWhenUsed/>
    <w:rsid w:val="00B248C0"/>
    <w:pPr>
      <w:spacing w:before="100" w:beforeAutospacing="1" w:after="100" w:afterAutospacing="1"/>
    </w:pPr>
    <w:rPr>
      <w:sz w:val="24"/>
      <w:szCs w:val="24"/>
      <w:lang w:val="en-US"/>
    </w:rPr>
  </w:style>
  <w:style w:type="paragraph" w:styleId="NoSpacing">
    <w:name w:val="No Spacing"/>
    <w:uiPriority w:val="1"/>
    <w:qFormat/>
    <w:rsid w:val="00FA2C64"/>
    <w:rPr>
      <w:rFonts w:asciiTheme="minorHAnsi" w:eastAsiaTheme="minorHAnsi" w:hAnsiTheme="minorHAnsi" w:cstheme="minorBidi"/>
      <w:sz w:val="22"/>
      <w:szCs w:val="22"/>
    </w:rPr>
  </w:style>
  <w:style w:type="paragraph" w:customStyle="1" w:styleId="xmsonormal">
    <w:name w:val="x_msonormal"/>
    <w:basedOn w:val="Normal"/>
    <w:rsid w:val="00FA2C64"/>
    <w:pPr>
      <w:spacing w:after="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78003">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41571796">
      <w:bodyDiv w:val="1"/>
      <w:marLeft w:val="0"/>
      <w:marRight w:val="0"/>
      <w:marTop w:val="0"/>
      <w:marBottom w:val="0"/>
      <w:divBdr>
        <w:top w:val="none" w:sz="0" w:space="0" w:color="auto"/>
        <w:left w:val="none" w:sz="0" w:space="0" w:color="auto"/>
        <w:bottom w:val="none" w:sz="0" w:space="0" w:color="auto"/>
        <w:right w:val="none" w:sz="0" w:space="0" w:color="auto"/>
      </w:divBdr>
      <w:divsChild>
        <w:div w:id="1569995873">
          <w:marLeft w:val="0"/>
          <w:marRight w:val="0"/>
          <w:marTop w:val="0"/>
          <w:marBottom w:val="18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46387067">
      <w:bodyDiv w:val="1"/>
      <w:marLeft w:val="0"/>
      <w:marRight w:val="0"/>
      <w:marTop w:val="0"/>
      <w:marBottom w:val="0"/>
      <w:divBdr>
        <w:top w:val="none" w:sz="0" w:space="0" w:color="auto"/>
        <w:left w:val="none" w:sz="0" w:space="0" w:color="auto"/>
        <w:bottom w:val="none" w:sz="0" w:space="0" w:color="auto"/>
        <w:right w:val="none" w:sz="0" w:space="0" w:color="auto"/>
      </w:divBdr>
    </w:div>
    <w:div w:id="816335546">
      <w:bodyDiv w:val="1"/>
      <w:marLeft w:val="0"/>
      <w:marRight w:val="0"/>
      <w:marTop w:val="0"/>
      <w:marBottom w:val="0"/>
      <w:divBdr>
        <w:top w:val="none" w:sz="0" w:space="0" w:color="auto"/>
        <w:left w:val="none" w:sz="0" w:space="0" w:color="auto"/>
        <w:bottom w:val="none" w:sz="0" w:space="0" w:color="auto"/>
        <w:right w:val="none" w:sz="0" w:space="0" w:color="auto"/>
      </w:divBdr>
    </w:div>
    <w:div w:id="901599857">
      <w:bodyDiv w:val="1"/>
      <w:marLeft w:val="0"/>
      <w:marRight w:val="0"/>
      <w:marTop w:val="0"/>
      <w:marBottom w:val="0"/>
      <w:divBdr>
        <w:top w:val="none" w:sz="0" w:space="0" w:color="auto"/>
        <w:left w:val="none" w:sz="0" w:space="0" w:color="auto"/>
        <w:bottom w:val="none" w:sz="0" w:space="0" w:color="auto"/>
        <w:right w:val="none" w:sz="0" w:space="0" w:color="auto"/>
      </w:divBdr>
      <w:divsChild>
        <w:div w:id="1552762140">
          <w:marLeft w:val="216"/>
          <w:marRight w:val="0"/>
          <w:marTop w:val="240"/>
          <w:marBottom w:val="0"/>
          <w:divBdr>
            <w:top w:val="none" w:sz="0" w:space="0" w:color="auto"/>
            <w:left w:val="none" w:sz="0" w:space="0" w:color="auto"/>
            <w:bottom w:val="none" w:sz="0" w:space="0" w:color="auto"/>
            <w:right w:val="none" w:sz="0" w:space="0" w:color="auto"/>
          </w:divBdr>
        </w:div>
        <w:div w:id="1721392736">
          <w:marLeft w:val="216"/>
          <w:marRight w:val="0"/>
          <w:marTop w:val="240"/>
          <w:marBottom w:val="0"/>
          <w:divBdr>
            <w:top w:val="none" w:sz="0" w:space="0" w:color="auto"/>
            <w:left w:val="none" w:sz="0" w:space="0" w:color="auto"/>
            <w:bottom w:val="none" w:sz="0" w:space="0" w:color="auto"/>
            <w:right w:val="none" w:sz="0" w:space="0" w:color="auto"/>
          </w:divBdr>
        </w:div>
      </w:divsChild>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97081253">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782409697">
      <w:bodyDiv w:val="1"/>
      <w:marLeft w:val="0"/>
      <w:marRight w:val="0"/>
      <w:marTop w:val="0"/>
      <w:marBottom w:val="0"/>
      <w:divBdr>
        <w:top w:val="none" w:sz="0" w:space="0" w:color="auto"/>
        <w:left w:val="none" w:sz="0" w:space="0" w:color="auto"/>
        <w:bottom w:val="none" w:sz="0" w:space="0" w:color="auto"/>
        <w:right w:val="none" w:sz="0" w:space="0" w:color="auto"/>
      </w:divBdr>
      <w:divsChild>
        <w:div w:id="1263220119">
          <w:marLeft w:val="0"/>
          <w:marRight w:val="0"/>
          <w:marTop w:val="0"/>
          <w:marBottom w:val="180"/>
          <w:divBdr>
            <w:top w:val="none" w:sz="0" w:space="0" w:color="auto"/>
            <w:left w:val="none" w:sz="0" w:space="0" w:color="auto"/>
            <w:bottom w:val="none" w:sz="0" w:space="0" w:color="auto"/>
            <w:right w:val="none" w:sz="0" w:space="0" w:color="auto"/>
          </w:divBdr>
        </w:div>
        <w:div w:id="1047879154">
          <w:marLeft w:val="0"/>
          <w:marRight w:val="0"/>
          <w:marTop w:val="0"/>
          <w:marBottom w:val="180"/>
          <w:divBdr>
            <w:top w:val="none" w:sz="0" w:space="0" w:color="auto"/>
            <w:left w:val="none" w:sz="0" w:space="0" w:color="auto"/>
            <w:bottom w:val="none" w:sz="0" w:space="0" w:color="auto"/>
            <w:right w:val="none" w:sz="0" w:space="0" w:color="auto"/>
          </w:divBdr>
        </w:div>
      </w:divsChild>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8" ma:contentTypeDescription="Create a new document." ma:contentTypeScope="" ma:versionID="cce852ffee4cc15ba790472bdef89829">
  <xsd:schema xmlns:xsd="http://www.w3.org/2001/XMLSchema" xmlns:xs="http://www.w3.org/2001/XMLSchema" xmlns:p="http://schemas.microsoft.com/office/2006/metadata/properties" xmlns:ns2="b782a749-144d-48ae-8b94-9ef0c78e12ad" targetNamespace="http://schemas.microsoft.com/office/2006/metadata/properties" ma:root="true" ma:fieldsID="4ace60d3c3a6edea1c6220c3442d4911"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B294C-A934-4EF8-ADF0-9A26992FC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4DF290-99E2-4123-B417-9AFD256CB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1392</Words>
  <Characters>7935</Characters>
  <Application>Microsoft Office Word</Application>
  <DocSecurity>4</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2</cp:revision>
  <cp:lastPrinted>2020-02-10T06:14:00Z</cp:lastPrinted>
  <dcterms:created xsi:type="dcterms:W3CDTF">2022-02-14T18:09:00Z</dcterms:created>
  <dcterms:modified xsi:type="dcterms:W3CDTF">2022-02-14T18:09:00Z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fb26ee5c-6a6a-440f-b70c-a3a5d11e97b3</vt:lpwstr>
  </property>
</Properties>
</file>